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DAD9" w14:textId="7BE3653C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0EB26" wp14:editId="1C991522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FF65B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Press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release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0E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">
                <v:textbox>
                  <w:txbxContent>
                    <w:p w14:paraId="25EFF65B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Press </w:t>
                      </w:r>
                      <w:proofErr w:type="gramStart"/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release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5DAFBB36" wp14:editId="39ADEFBE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F72D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7ADCAF14" w14:textId="156E27F5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F359ED4" w14:textId="3A2E2AF6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471B21ED" w14:textId="59ABAF2D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4BD360E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0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0A708BD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771447C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0FC1010D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728B75F3" w14:textId="34762D06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76F16520" w14:textId="0544A066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1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71C59E8B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25C16946" w14:textId="77777777" w:rsidR="006E5513" w:rsidRPr="00AC3EF8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719F8991" w14:textId="5C0A5B00" w:rsidR="008C1745" w:rsidRPr="00371F58" w:rsidRDefault="00613A29" w:rsidP="00371F58">
      <w:pPr>
        <w:spacing w:line="264" w:lineRule="auto"/>
        <w:jc w:val="center"/>
        <w:rPr>
          <w:rFonts w:ascii="Arial" w:eastAsia="Calibri" w:hAnsi="Arial"/>
          <w:b/>
          <w:spacing w:val="-2"/>
          <w:sz w:val="30"/>
          <w:szCs w:val="30"/>
        </w:rPr>
      </w:pPr>
      <w:r w:rsidRPr="00371F58">
        <w:rPr>
          <w:rFonts w:ascii="Arial" w:eastAsia="Calibri" w:hAnsi="Arial"/>
          <w:b/>
          <w:spacing w:val="-2"/>
          <w:sz w:val="30"/>
          <w:szCs w:val="30"/>
        </w:rPr>
        <w:t xml:space="preserve">TekniPlex Healthcare </w:t>
      </w:r>
      <w:r w:rsidR="00371F58">
        <w:rPr>
          <w:rFonts w:ascii="Arial" w:eastAsia="Calibri" w:hAnsi="Arial"/>
          <w:b/>
          <w:spacing w:val="-2"/>
          <w:sz w:val="30"/>
          <w:szCs w:val="30"/>
        </w:rPr>
        <w:t>Begins</w:t>
      </w:r>
      <w:r w:rsidR="008C1745" w:rsidRPr="00371F58">
        <w:rPr>
          <w:rFonts w:ascii="Arial" w:eastAsia="Calibri" w:hAnsi="Arial"/>
          <w:b/>
          <w:spacing w:val="-2"/>
          <w:sz w:val="30"/>
          <w:szCs w:val="30"/>
        </w:rPr>
        <w:t xml:space="preserve"> Multi-Phase </w:t>
      </w:r>
    </w:p>
    <w:p w14:paraId="4954C7B9" w14:textId="4F68DF2E" w:rsidR="00613A29" w:rsidRPr="00371F58" w:rsidRDefault="008C1745" w:rsidP="00371F58">
      <w:pPr>
        <w:spacing w:line="264" w:lineRule="auto"/>
        <w:jc w:val="center"/>
        <w:rPr>
          <w:rFonts w:ascii="Arial" w:eastAsia="Calibri" w:hAnsi="Arial"/>
          <w:b/>
          <w:spacing w:val="-2"/>
          <w:sz w:val="30"/>
          <w:szCs w:val="30"/>
        </w:rPr>
      </w:pPr>
      <w:r w:rsidRPr="00371F58">
        <w:rPr>
          <w:rFonts w:ascii="Arial" w:eastAsia="Calibri" w:hAnsi="Arial"/>
          <w:b/>
          <w:spacing w:val="-2"/>
          <w:sz w:val="30"/>
          <w:szCs w:val="30"/>
        </w:rPr>
        <w:t>Expansion Project at Costa Rica Facility</w:t>
      </w:r>
    </w:p>
    <w:p w14:paraId="0E71CDB9" w14:textId="677B67F8" w:rsidR="005A35A3" w:rsidRPr="00AC3EF8" w:rsidRDefault="005A35A3" w:rsidP="002C55A3">
      <w:pPr>
        <w:spacing w:line="259" w:lineRule="auto"/>
        <w:jc w:val="center"/>
        <w:rPr>
          <w:rFonts w:ascii="Arial" w:eastAsia="Calibri" w:hAnsi="Arial"/>
          <w:b/>
          <w:sz w:val="22"/>
          <w:szCs w:val="22"/>
        </w:rPr>
      </w:pPr>
    </w:p>
    <w:p w14:paraId="06DE220E" w14:textId="77777777" w:rsidR="00371F58" w:rsidRPr="00371F58" w:rsidRDefault="00371F58" w:rsidP="00371F58">
      <w:pPr>
        <w:spacing w:line="264" w:lineRule="auto"/>
        <w:jc w:val="center"/>
        <w:rPr>
          <w:rFonts w:ascii="Arial" w:eastAsia="Calibri" w:hAnsi="Arial"/>
          <w:b/>
          <w:i/>
          <w:iCs/>
        </w:rPr>
      </w:pPr>
      <w:r w:rsidRPr="00371F58">
        <w:rPr>
          <w:rFonts w:ascii="Arial" w:eastAsia="Calibri" w:hAnsi="Arial"/>
          <w:b/>
          <w:i/>
          <w:iCs/>
        </w:rPr>
        <w:t xml:space="preserve">Initiatives include new medical tubing extrusion equipment, </w:t>
      </w:r>
    </w:p>
    <w:p w14:paraId="335C00A0" w14:textId="14B88BF6" w:rsidR="00BA4783" w:rsidRPr="00371F58" w:rsidRDefault="00371F58" w:rsidP="00371F58">
      <w:pPr>
        <w:spacing w:line="264" w:lineRule="auto"/>
        <w:jc w:val="center"/>
        <w:rPr>
          <w:rFonts w:ascii="Arial" w:eastAsia="Calibri" w:hAnsi="Arial"/>
          <w:b/>
          <w:i/>
          <w:iCs/>
        </w:rPr>
      </w:pPr>
      <w:r w:rsidRPr="00371F58">
        <w:rPr>
          <w:rFonts w:ascii="Arial" w:eastAsia="Calibri" w:hAnsi="Arial"/>
          <w:b/>
          <w:i/>
          <w:iCs/>
        </w:rPr>
        <w:t xml:space="preserve">and </w:t>
      </w:r>
      <w:proofErr w:type="gramStart"/>
      <w:r w:rsidRPr="00371F58">
        <w:rPr>
          <w:rFonts w:ascii="Arial" w:eastAsia="Calibri" w:hAnsi="Arial"/>
          <w:b/>
          <w:i/>
          <w:iCs/>
        </w:rPr>
        <w:t>additional</w:t>
      </w:r>
      <w:proofErr w:type="gramEnd"/>
      <w:r w:rsidRPr="00371F58">
        <w:rPr>
          <w:rFonts w:ascii="Arial" w:eastAsia="Calibri" w:hAnsi="Arial"/>
          <w:b/>
          <w:i/>
          <w:iCs/>
        </w:rPr>
        <w:t xml:space="preserve"> room for warehousing and assembly operations.</w:t>
      </w:r>
    </w:p>
    <w:p w14:paraId="4A1EA54E" w14:textId="77777777" w:rsidR="00371F58" w:rsidRPr="00AC3EF8" w:rsidRDefault="00371F58" w:rsidP="00371F58">
      <w:pPr>
        <w:spacing w:line="360" w:lineRule="auto"/>
        <w:jc w:val="center"/>
        <w:rPr>
          <w:rFonts w:ascii="Arial" w:eastAsia="Calibri" w:hAnsi="Arial"/>
          <w:b/>
          <w:i/>
          <w:iCs/>
          <w:sz w:val="22"/>
          <w:szCs w:val="22"/>
        </w:rPr>
      </w:pPr>
    </w:p>
    <w:p w14:paraId="08171D68" w14:textId="52241B0A" w:rsidR="008C1745" w:rsidRPr="00AC3EF8" w:rsidRDefault="00410BD8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AC3EF8">
        <w:rPr>
          <w:rFonts w:asciiTheme="majorHAnsi" w:eastAsia="Calibri" w:hAnsiTheme="majorHAnsi" w:cstheme="majorHAnsi"/>
          <w:bCs/>
          <w:i/>
          <w:iCs/>
          <w:sz w:val="22"/>
          <w:szCs w:val="22"/>
        </w:rPr>
        <w:t xml:space="preserve">Wayne, PA </w:t>
      </w:r>
      <w:r w:rsidR="00986E28" w:rsidRPr="00AC3EF8">
        <w:rPr>
          <w:rFonts w:asciiTheme="majorHAnsi" w:eastAsia="Calibri" w:hAnsiTheme="majorHAnsi" w:cstheme="majorHAnsi"/>
          <w:bCs/>
          <w:i/>
          <w:iCs/>
          <w:sz w:val="22"/>
          <w:szCs w:val="22"/>
        </w:rPr>
        <w:t>–</w:t>
      </w:r>
      <w:r w:rsidR="007E708D" w:rsidRPr="00AC3EF8">
        <w:rPr>
          <w:rFonts w:asciiTheme="majorHAnsi" w:eastAsia="Calibri" w:hAnsiTheme="majorHAnsi" w:cstheme="majorHAnsi"/>
          <w:bCs/>
          <w:i/>
          <w:iCs/>
          <w:sz w:val="22"/>
          <w:szCs w:val="22"/>
        </w:rPr>
        <w:t xml:space="preserve"> </w:t>
      </w:r>
      <w:r w:rsidRPr="00AC3EF8">
        <w:rPr>
          <w:rFonts w:asciiTheme="majorHAnsi" w:eastAsia="Calibri" w:hAnsiTheme="majorHAnsi" w:cstheme="majorHAnsi"/>
          <w:b/>
          <w:bCs/>
          <w:sz w:val="22"/>
          <w:szCs w:val="22"/>
        </w:rPr>
        <w:t>TekniPlex</w:t>
      </w:r>
      <w:r w:rsidR="00975164" w:rsidRPr="00AC3EF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Healthcare</w:t>
      </w:r>
      <w:r w:rsidR="007E708D" w:rsidRPr="00AC3EF8">
        <w:rPr>
          <w:rFonts w:asciiTheme="majorHAnsi" w:eastAsia="Calibri" w:hAnsiTheme="majorHAnsi" w:cstheme="majorHAnsi"/>
          <w:sz w:val="22"/>
          <w:szCs w:val="22"/>
        </w:rPr>
        <w:t>,</w:t>
      </w:r>
      <w:r w:rsidR="00986E28" w:rsidRPr="00AC3EF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975164" w:rsidRPr="00AC3EF8">
        <w:rPr>
          <w:rFonts w:asciiTheme="majorHAnsi" w:eastAsia="Calibri" w:hAnsiTheme="majorHAnsi" w:cstheme="majorHAnsi"/>
          <w:sz w:val="22"/>
          <w:szCs w:val="22"/>
        </w:rPr>
        <w:t>which</w:t>
      </w:r>
      <w:r w:rsidR="00975164" w:rsidRPr="00AC3EF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975164" w:rsidRPr="00AC3EF8">
        <w:rPr>
          <w:rFonts w:asciiTheme="majorHAnsi" w:hAnsiTheme="majorHAnsi" w:cstheme="majorHAnsi"/>
          <w:sz w:val="22"/>
          <w:szCs w:val="22"/>
        </w:rPr>
        <w:t xml:space="preserve">utilizes advanced materials science expertise to </w:t>
      </w:r>
      <w:r w:rsidR="00B2746A" w:rsidRPr="00AC3EF8">
        <w:rPr>
          <w:rFonts w:asciiTheme="majorHAnsi" w:hAnsiTheme="majorHAnsi" w:cstheme="majorHAnsi"/>
          <w:sz w:val="22"/>
          <w:szCs w:val="22"/>
        </w:rPr>
        <w:t>help deliver</w:t>
      </w:r>
      <w:r w:rsidR="00975164" w:rsidRPr="00AC3EF8">
        <w:rPr>
          <w:rFonts w:asciiTheme="majorHAnsi" w:hAnsiTheme="majorHAnsi" w:cstheme="majorHAnsi"/>
          <w:sz w:val="22"/>
          <w:szCs w:val="22"/>
        </w:rPr>
        <w:t xml:space="preserve"> </w:t>
      </w:r>
      <w:r w:rsidR="008A7368" w:rsidRPr="00AC3EF8">
        <w:rPr>
          <w:rFonts w:asciiTheme="majorHAnsi" w:hAnsiTheme="majorHAnsi" w:cstheme="majorHAnsi"/>
          <w:sz w:val="22"/>
          <w:szCs w:val="22"/>
        </w:rPr>
        <w:t>better patient outcomes</w:t>
      </w:r>
      <w:r w:rsidR="007E708D" w:rsidRPr="00AC3EF8">
        <w:rPr>
          <w:rFonts w:asciiTheme="majorHAnsi" w:hAnsiTheme="majorHAnsi" w:cstheme="majorHAnsi"/>
          <w:sz w:val="22"/>
          <w:szCs w:val="22"/>
        </w:rPr>
        <w:t>,</w:t>
      </w:r>
      <w:r w:rsidR="004354C6" w:rsidRPr="00AC3EF8">
        <w:rPr>
          <w:rFonts w:asciiTheme="majorHAnsi" w:hAnsiTheme="majorHAnsi" w:cstheme="majorHAnsi"/>
          <w:sz w:val="22"/>
          <w:szCs w:val="22"/>
        </w:rPr>
        <w:t xml:space="preserve"> </w:t>
      </w:r>
      <w:r w:rsidR="008C1745" w:rsidRPr="00AC3EF8">
        <w:rPr>
          <w:rFonts w:asciiTheme="majorHAnsi" w:hAnsiTheme="majorHAnsi" w:cstheme="majorHAnsi"/>
          <w:sz w:val="22"/>
          <w:szCs w:val="22"/>
        </w:rPr>
        <w:t xml:space="preserve">has invested in new medical tubing extrusion </w:t>
      </w:r>
      <w:r w:rsidR="004E2592">
        <w:rPr>
          <w:rFonts w:asciiTheme="majorHAnsi" w:hAnsiTheme="majorHAnsi" w:cstheme="majorHAnsi"/>
          <w:sz w:val="22"/>
          <w:szCs w:val="22"/>
        </w:rPr>
        <w:t xml:space="preserve">lines along with downstream equipment </w:t>
      </w:r>
      <w:r w:rsidR="008C1745" w:rsidRPr="00AC3EF8">
        <w:rPr>
          <w:rFonts w:asciiTheme="majorHAnsi" w:hAnsiTheme="majorHAnsi" w:cstheme="majorHAnsi"/>
          <w:sz w:val="22"/>
          <w:szCs w:val="22"/>
        </w:rPr>
        <w:t xml:space="preserve">as part of an expansion to its production facility in Cartago, Costa Rica. The multi-stage project will </w:t>
      </w:r>
      <w:r w:rsidR="00371F58">
        <w:rPr>
          <w:rFonts w:asciiTheme="majorHAnsi" w:hAnsiTheme="majorHAnsi" w:cstheme="majorHAnsi"/>
          <w:sz w:val="22"/>
          <w:szCs w:val="22"/>
        </w:rPr>
        <w:t>bolster manufacturing capacity and capabilities whi</w:t>
      </w:r>
      <w:r w:rsidR="00780FAF">
        <w:rPr>
          <w:rFonts w:asciiTheme="majorHAnsi" w:hAnsiTheme="majorHAnsi" w:cstheme="majorHAnsi"/>
          <w:sz w:val="22"/>
          <w:szCs w:val="22"/>
        </w:rPr>
        <w:t>l</w:t>
      </w:r>
      <w:r w:rsidR="00371F58">
        <w:rPr>
          <w:rFonts w:asciiTheme="majorHAnsi" w:hAnsiTheme="majorHAnsi" w:cstheme="majorHAnsi"/>
          <w:sz w:val="22"/>
          <w:szCs w:val="22"/>
        </w:rPr>
        <w:t xml:space="preserve">e </w:t>
      </w:r>
      <w:r w:rsidR="008C1745" w:rsidRPr="00AC3EF8">
        <w:rPr>
          <w:rFonts w:asciiTheme="majorHAnsi" w:hAnsiTheme="majorHAnsi" w:cstheme="majorHAnsi"/>
          <w:sz w:val="22"/>
          <w:szCs w:val="22"/>
        </w:rPr>
        <w:t>add</w:t>
      </w:r>
      <w:r w:rsidR="00371F58">
        <w:rPr>
          <w:rFonts w:asciiTheme="majorHAnsi" w:hAnsiTheme="majorHAnsi" w:cstheme="majorHAnsi"/>
          <w:sz w:val="22"/>
          <w:szCs w:val="22"/>
        </w:rPr>
        <w:t>ing</w:t>
      </w:r>
      <w:r w:rsidR="008C1745" w:rsidRPr="00AC3EF8">
        <w:rPr>
          <w:rFonts w:asciiTheme="majorHAnsi" w:hAnsiTheme="majorHAnsi" w:cstheme="majorHAnsi"/>
          <w:sz w:val="22"/>
          <w:szCs w:val="22"/>
        </w:rPr>
        <w:t xml:space="preserve"> approximately 40,000 square feet of combined</w:t>
      </w:r>
      <w:r w:rsidR="00371F58">
        <w:rPr>
          <w:rFonts w:asciiTheme="majorHAnsi" w:hAnsiTheme="majorHAnsi" w:cstheme="majorHAnsi"/>
          <w:sz w:val="22"/>
          <w:szCs w:val="22"/>
        </w:rPr>
        <w:t xml:space="preserve"> </w:t>
      </w:r>
      <w:r w:rsidR="008C1745" w:rsidRPr="00AC3EF8">
        <w:rPr>
          <w:rFonts w:asciiTheme="majorHAnsi" w:hAnsiTheme="majorHAnsi" w:cstheme="majorHAnsi"/>
          <w:sz w:val="22"/>
          <w:szCs w:val="22"/>
        </w:rPr>
        <w:t xml:space="preserve">assembly and warehousing space. </w:t>
      </w:r>
    </w:p>
    <w:p w14:paraId="329CF85A" w14:textId="2047A0F0" w:rsidR="008C1745" w:rsidRPr="00AC3EF8" w:rsidRDefault="008C1745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z w:val="22"/>
          <w:szCs w:val="22"/>
        </w:rPr>
      </w:pPr>
    </w:p>
    <w:p w14:paraId="0FB406BE" w14:textId="6CBAD471" w:rsidR="00BD47FD" w:rsidRPr="00AC3EF8" w:rsidRDefault="008C1745" w:rsidP="005A35A3">
      <w:pPr>
        <w:tabs>
          <w:tab w:val="left" w:pos="2889"/>
        </w:tabs>
        <w:spacing w:line="300" w:lineRule="auto"/>
        <w:rPr>
          <w:rFonts w:ascii="Arial" w:hAnsi="Arial" w:cs="Arial"/>
          <w:color w:val="000000"/>
          <w:sz w:val="22"/>
          <w:szCs w:val="22"/>
        </w:rPr>
      </w:pPr>
      <w:r w:rsidRPr="00AC3EF8">
        <w:rPr>
          <w:rFonts w:ascii="Arial" w:hAnsi="Arial" w:cs="Arial"/>
          <w:color w:val="000000"/>
          <w:sz w:val="22"/>
          <w:szCs w:val="22"/>
        </w:rPr>
        <w:t xml:space="preserve">For the effort’s </w:t>
      </w:r>
      <w:proofErr w:type="gramStart"/>
      <w:r w:rsidRPr="00AC3EF8">
        <w:rPr>
          <w:rFonts w:ascii="Arial" w:hAnsi="Arial" w:cs="Arial"/>
          <w:color w:val="000000"/>
          <w:sz w:val="22"/>
          <w:szCs w:val="22"/>
        </w:rPr>
        <w:t>initial phase</w:t>
      </w:r>
      <w:proofErr w:type="gramEnd"/>
      <w:r w:rsidRPr="00AC3EF8">
        <w:rPr>
          <w:rFonts w:ascii="Arial" w:hAnsi="Arial" w:cs="Arial"/>
          <w:color w:val="000000"/>
          <w:sz w:val="22"/>
          <w:szCs w:val="22"/>
        </w:rPr>
        <w:t>,</w:t>
      </w:r>
      <w:r w:rsidR="006E22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3EF8">
        <w:rPr>
          <w:rFonts w:ascii="Arial" w:hAnsi="Arial" w:cs="Arial"/>
          <w:color w:val="000000"/>
          <w:sz w:val="22"/>
          <w:szCs w:val="22"/>
        </w:rPr>
        <w:t>the new medical tubing extrusion equipment will be install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>ed</w:t>
      </w:r>
      <w:r w:rsidRPr="00AC3EF8">
        <w:rPr>
          <w:rFonts w:ascii="Arial" w:hAnsi="Arial" w:cs="Arial"/>
          <w:color w:val="000000"/>
          <w:sz w:val="22"/>
          <w:szCs w:val="22"/>
        </w:rPr>
        <w:t xml:space="preserve"> in a cleanroom environment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 xml:space="preserve"> </w:t>
      </w:r>
      <w:r w:rsidR="00371F58">
        <w:rPr>
          <w:rFonts w:ascii="Arial" w:hAnsi="Arial" w:cs="Arial"/>
          <w:color w:val="000000"/>
          <w:sz w:val="22"/>
          <w:szCs w:val="22"/>
        </w:rPr>
        <w:t>at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 xml:space="preserve"> the existing </w:t>
      </w:r>
      <w:r w:rsidR="00371F58">
        <w:rPr>
          <w:rFonts w:ascii="Arial" w:hAnsi="Arial" w:cs="Arial"/>
          <w:color w:val="000000"/>
          <w:sz w:val="22"/>
          <w:szCs w:val="22"/>
        </w:rPr>
        <w:t>facility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 xml:space="preserve">. </w:t>
      </w:r>
      <w:r w:rsidR="006E221F">
        <w:rPr>
          <w:rFonts w:ascii="Arial" w:hAnsi="Arial" w:cs="Arial"/>
          <w:color w:val="000000"/>
          <w:sz w:val="22"/>
          <w:szCs w:val="22"/>
        </w:rPr>
        <w:t>Targeted</w:t>
      </w:r>
      <w:r w:rsidR="00371F58">
        <w:rPr>
          <w:rFonts w:ascii="Arial" w:hAnsi="Arial" w:cs="Arial"/>
          <w:color w:val="000000"/>
          <w:sz w:val="22"/>
          <w:szCs w:val="22"/>
        </w:rPr>
        <w:t xml:space="preserve"> to commence operation</w:t>
      </w:r>
      <w:r w:rsidR="006E221F">
        <w:rPr>
          <w:rFonts w:ascii="Arial" w:hAnsi="Arial" w:cs="Arial"/>
          <w:color w:val="000000"/>
          <w:sz w:val="22"/>
          <w:szCs w:val="22"/>
        </w:rPr>
        <w:t xml:space="preserve"> by the end of Q2, t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 xml:space="preserve">he </w:t>
      </w:r>
      <w:r w:rsidR="00BD47FD" w:rsidRPr="001B57D9">
        <w:rPr>
          <w:rFonts w:ascii="Arial" w:hAnsi="Arial" w:cs="Arial"/>
          <w:color w:val="000000"/>
          <w:sz w:val="22"/>
          <w:szCs w:val="22"/>
        </w:rPr>
        <w:t>continuous closed-loop feedback extrusion system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 xml:space="preserve"> will help drive tighter tolerances at high manufacturing speeds, allowing TekniPlex Healthcare to </w:t>
      </w:r>
      <w:r w:rsidR="00371F58">
        <w:rPr>
          <w:rFonts w:ascii="Arial" w:hAnsi="Arial" w:cs="Arial"/>
          <w:color w:val="000000"/>
          <w:sz w:val="22"/>
          <w:szCs w:val="22"/>
        </w:rPr>
        <w:t>increase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 xml:space="preserve"> its medical tubing </w:t>
      </w:r>
      <w:r w:rsidR="004E2592">
        <w:rPr>
          <w:rFonts w:ascii="Arial" w:hAnsi="Arial" w:cs="Arial"/>
          <w:color w:val="000000"/>
          <w:sz w:val="22"/>
          <w:szCs w:val="22"/>
        </w:rPr>
        <w:t xml:space="preserve">and profile </w:t>
      </w:r>
      <w:r w:rsidR="00BD47FD" w:rsidRPr="00AC3EF8">
        <w:rPr>
          <w:rFonts w:ascii="Arial" w:hAnsi="Arial" w:cs="Arial"/>
          <w:color w:val="000000"/>
          <w:sz w:val="22"/>
          <w:szCs w:val="22"/>
        </w:rPr>
        <w:t>capacity amid a growing medical device components market. </w:t>
      </w:r>
      <w:r w:rsidR="0055159D">
        <w:rPr>
          <w:rFonts w:ascii="Arial" w:hAnsi="Arial" w:cs="Arial"/>
          <w:color w:val="000000"/>
          <w:sz w:val="22"/>
          <w:szCs w:val="22"/>
        </w:rPr>
        <w:t>The expansion also</w:t>
      </w:r>
      <w:r w:rsidR="00F8591E">
        <w:rPr>
          <w:rFonts w:ascii="Arial" w:hAnsi="Arial" w:cs="Arial"/>
          <w:color w:val="000000"/>
          <w:sz w:val="22"/>
          <w:szCs w:val="22"/>
        </w:rPr>
        <w:t xml:space="preserve"> will</w:t>
      </w:r>
      <w:r w:rsidR="0055159D">
        <w:rPr>
          <w:rFonts w:ascii="Arial" w:hAnsi="Arial" w:cs="Arial"/>
          <w:color w:val="000000"/>
          <w:sz w:val="22"/>
          <w:szCs w:val="22"/>
        </w:rPr>
        <w:t xml:space="preserve"> help further improve TekniPlex Healthcare’s business continuity capabilities – often a key factor in strategic partner selection where dual validation is critical</w:t>
      </w:r>
      <w:r w:rsidR="00F8591E">
        <w:rPr>
          <w:rFonts w:ascii="Arial" w:hAnsi="Arial" w:cs="Arial"/>
          <w:color w:val="000000"/>
          <w:sz w:val="22"/>
          <w:szCs w:val="22"/>
        </w:rPr>
        <w:t xml:space="preserve"> – by building upon </w:t>
      </w:r>
      <w:r w:rsidR="0059015C">
        <w:rPr>
          <w:rFonts w:ascii="Arial" w:hAnsi="Arial" w:cs="Arial"/>
          <w:color w:val="000000"/>
          <w:sz w:val="22"/>
          <w:szCs w:val="22"/>
        </w:rPr>
        <w:t xml:space="preserve">existing medical tubing </w:t>
      </w:r>
      <w:r w:rsidR="00F8591E">
        <w:rPr>
          <w:rFonts w:ascii="Arial" w:hAnsi="Arial" w:cs="Arial"/>
          <w:color w:val="000000"/>
          <w:sz w:val="22"/>
          <w:szCs w:val="22"/>
        </w:rPr>
        <w:t xml:space="preserve">manufacturing operations in the United States, Mexico, </w:t>
      </w:r>
      <w:proofErr w:type="gramStart"/>
      <w:r w:rsidR="00F8591E">
        <w:rPr>
          <w:rFonts w:ascii="Arial" w:hAnsi="Arial" w:cs="Arial"/>
          <w:color w:val="000000"/>
          <w:sz w:val="22"/>
          <w:szCs w:val="22"/>
        </w:rPr>
        <w:t>Europe</w:t>
      </w:r>
      <w:proofErr w:type="gramEnd"/>
      <w:r w:rsidR="00F8591E">
        <w:rPr>
          <w:rFonts w:ascii="Arial" w:hAnsi="Arial" w:cs="Arial"/>
          <w:color w:val="000000"/>
          <w:sz w:val="22"/>
          <w:szCs w:val="22"/>
        </w:rPr>
        <w:t xml:space="preserve"> and China.</w:t>
      </w:r>
    </w:p>
    <w:p w14:paraId="20937977" w14:textId="5A2DB2AE" w:rsidR="00BD47FD" w:rsidRPr="00AC3EF8" w:rsidRDefault="00BD47FD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sz w:val="22"/>
          <w:szCs w:val="22"/>
        </w:rPr>
      </w:pPr>
    </w:p>
    <w:p w14:paraId="07F63C7B" w14:textId="26C40AD1" w:rsidR="00741A6F" w:rsidRPr="00AC3EF8" w:rsidRDefault="00741A6F" w:rsidP="00741A6F">
      <w:pPr>
        <w:tabs>
          <w:tab w:val="left" w:pos="2889"/>
        </w:tabs>
        <w:spacing w:line="300" w:lineRule="auto"/>
        <w:rPr>
          <w:rFonts w:ascii="Arial" w:hAnsi="Arial" w:cs="Arial"/>
          <w:sz w:val="22"/>
          <w:szCs w:val="22"/>
        </w:rPr>
      </w:pPr>
      <w:r w:rsidRPr="00AC3EF8">
        <w:rPr>
          <w:rFonts w:ascii="Arial" w:hAnsi="Arial" w:cs="Arial"/>
          <w:color w:val="000000"/>
          <w:sz w:val="22"/>
          <w:szCs w:val="22"/>
        </w:rPr>
        <w:t>For TekniPlex Healthcare, the investment and expansion at its Cartago plant will build upon its ability to produce and deliver complex medical device assemblies that meet and exceed stringent requirements.</w:t>
      </w:r>
      <w:r w:rsidR="005F26DB" w:rsidRPr="00AC3EF8">
        <w:rPr>
          <w:rFonts w:ascii="Arial" w:hAnsi="Arial" w:cs="Arial"/>
          <w:color w:val="000000"/>
          <w:sz w:val="22"/>
          <w:szCs w:val="22"/>
        </w:rPr>
        <w:t xml:space="preserve"> Notably, the project will more than double TekniPlex Healthcare’s capacity for micro-extrusions, quad tubes, thermally bonded paratubing</w:t>
      </w:r>
      <w:r w:rsidR="00AC3EF8" w:rsidRPr="00AC3EF8">
        <w:rPr>
          <w:rFonts w:ascii="Arial" w:hAnsi="Arial" w:cs="Arial"/>
          <w:color w:val="000000"/>
          <w:sz w:val="22"/>
          <w:szCs w:val="22"/>
        </w:rPr>
        <w:t>, and advanced multilayer coextrusions for complex drug delivery applications.</w:t>
      </w:r>
    </w:p>
    <w:p w14:paraId="6E966B0B" w14:textId="49DFB4BD" w:rsidR="00BD47FD" w:rsidRDefault="00BD47FD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</w:rPr>
      </w:pPr>
    </w:p>
    <w:p w14:paraId="26259512" w14:textId="1B48BCB5" w:rsidR="00371F58" w:rsidRDefault="00371F58" w:rsidP="005A35A3">
      <w:pPr>
        <w:tabs>
          <w:tab w:val="left" w:pos="2889"/>
        </w:tabs>
        <w:spacing w:line="300" w:lineRule="auto"/>
        <w:rPr>
          <w:rFonts w:ascii="Arial" w:hAnsi="Arial" w:cs="Arial"/>
          <w:color w:val="000000"/>
          <w:sz w:val="22"/>
          <w:szCs w:val="22"/>
        </w:rPr>
      </w:pPr>
      <w:r w:rsidRPr="00AC3EF8">
        <w:rPr>
          <w:rFonts w:ascii="Arial" w:hAnsi="Arial" w:cs="Arial"/>
          <w:color w:val="000000"/>
          <w:sz w:val="22"/>
          <w:szCs w:val="22"/>
        </w:rPr>
        <w:t>In recent years, Costa Rica has emerged as a notable medical device manufacturing hub.</w:t>
      </w:r>
    </w:p>
    <w:p w14:paraId="507C2A78" w14:textId="77777777" w:rsidR="00371F58" w:rsidRDefault="00371F58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</w:rPr>
      </w:pPr>
    </w:p>
    <w:p w14:paraId="769B1627" w14:textId="08F17868" w:rsidR="005F26DB" w:rsidRPr="00AC3EF8" w:rsidRDefault="00AC3EF8" w:rsidP="006E221F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“For years, our</w:t>
      </w:r>
      <w:r w:rsidR="005F26DB" w:rsidRPr="00AC3EF8">
        <w:rPr>
          <w:rFonts w:asciiTheme="majorHAnsi" w:hAnsiTheme="majorHAnsi" w:cstheme="majorHAnsi"/>
          <w:color w:val="000000"/>
          <w:sz w:val="22"/>
          <w:szCs w:val="22"/>
        </w:rPr>
        <w:t xml:space="preserve"> Costa Rica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facility has exemplified </w:t>
      </w:r>
      <w:r w:rsidR="005F26DB" w:rsidRPr="00AC3EF8">
        <w:rPr>
          <w:rFonts w:asciiTheme="majorHAnsi" w:hAnsiTheme="majorHAnsi" w:cstheme="majorHAnsi"/>
          <w:color w:val="000000"/>
          <w:sz w:val="22"/>
          <w:szCs w:val="22"/>
        </w:rPr>
        <w:t>the advanced material</w:t>
      </w:r>
      <w:r w:rsidR="00371F58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5F26DB" w:rsidRPr="00AC3EF8">
        <w:rPr>
          <w:rFonts w:asciiTheme="majorHAnsi" w:hAnsiTheme="majorHAnsi" w:cstheme="majorHAnsi"/>
          <w:color w:val="000000"/>
          <w:sz w:val="22"/>
          <w:szCs w:val="22"/>
        </w:rPr>
        <w:t xml:space="preserve"> science and processing capabilities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for which TekniPlex Healthcare has become known worldwide,” said </w:t>
      </w:r>
      <w:r w:rsidR="0055159D">
        <w:rPr>
          <w:rFonts w:asciiTheme="majorHAnsi" w:hAnsiTheme="majorHAnsi" w:cstheme="majorHAnsi"/>
          <w:color w:val="000000"/>
          <w:sz w:val="22"/>
          <w:szCs w:val="22"/>
        </w:rPr>
        <w:t>Chris Qualter</w:t>
      </w:r>
      <w:r w:rsidR="009D5EE5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55159D">
        <w:rPr>
          <w:rFonts w:asciiTheme="majorHAnsi" w:hAnsiTheme="majorHAnsi" w:cstheme="majorHAnsi"/>
          <w:color w:val="000000"/>
          <w:sz w:val="22"/>
          <w:szCs w:val="22"/>
        </w:rPr>
        <w:t>, CEO</w:t>
      </w:r>
      <w:r w:rsidR="009D5EE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for TekniPlex Healthcare. “The current investment and expansion project shows our commitment to </w:t>
      </w:r>
      <w:r w:rsidR="000027C2">
        <w:rPr>
          <w:rFonts w:asciiTheme="majorHAnsi" w:hAnsiTheme="majorHAnsi" w:cstheme="majorHAnsi"/>
          <w:color w:val="000000"/>
          <w:sz w:val="22"/>
          <w:szCs w:val="22"/>
        </w:rPr>
        <w:t xml:space="preserve">continuing to advance our products and provide </w:t>
      </w:r>
      <w:r w:rsidR="00A21CF9">
        <w:rPr>
          <w:rFonts w:asciiTheme="majorHAnsi" w:hAnsiTheme="majorHAnsi" w:cstheme="majorHAnsi"/>
          <w:color w:val="000000"/>
          <w:sz w:val="22"/>
          <w:szCs w:val="22"/>
        </w:rPr>
        <w:t>exemplary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 customer service</w:t>
      </w:r>
      <w:r w:rsidR="000027C2">
        <w:rPr>
          <w:rFonts w:asciiTheme="majorHAnsi" w:hAnsiTheme="majorHAnsi" w:cstheme="majorHAnsi"/>
          <w:color w:val="000000"/>
          <w:sz w:val="22"/>
          <w:szCs w:val="22"/>
        </w:rPr>
        <w:t xml:space="preserve"> supporting our mission </w:t>
      </w:r>
      <w:r w:rsidR="00165390">
        <w:rPr>
          <w:rFonts w:asciiTheme="majorHAnsi" w:hAnsiTheme="majorHAnsi" w:cstheme="majorHAnsi"/>
          <w:color w:val="000000"/>
          <w:sz w:val="22"/>
          <w:szCs w:val="22"/>
        </w:rPr>
        <w:t xml:space="preserve">of 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>improving patient outcomes.”</w:t>
      </w:r>
    </w:p>
    <w:p w14:paraId="36ADD5C6" w14:textId="77777777" w:rsidR="005F26DB" w:rsidRDefault="005F26DB" w:rsidP="005F26DB">
      <w:r>
        <w:rPr>
          <w:i/>
          <w:iCs/>
          <w:color w:val="000000"/>
        </w:rPr>
        <w:t> </w:t>
      </w:r>
    </w:p>
    <w:p w14:paraId="45EECD4B" w14:textId="20BF3051" w:rsidR="005F26DB" w:rsidRPr="006E221F" w:rsidRDefault="005F26DB" w:rsidP="006E221F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6E221F"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 project also</w:t>
      </w:r>
      <w:r w:rsidR="00371F58">
        <w:rPr>
          <w:rFonts w:asciiTheme="majorHAnsi" w:hAnsiTheme="majorHAnsi" w:cstheme="majorHAnsi"/>
          <w:color w:val="000000"/>
          <w:sz w:val="22"/>
          <w:szCs w:val="22"/>
        </w:rPr>
        <w:t xml:space="preserve"> will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 provide some welcome additional elbow room, allowing TekniPlex Health</w:t>
      </w:r>
      <w:r w:rsidR="00371F58">
        <w:rPr>
          <w:rFonts w:asciiTheme="majorHAnsi" w:hAnsiTheme="majorHAnsi" w:cstheme="majorHAnsi"/>
          <w:color w:val="000000"/>
          <w:sz w:val="22"/>
          <w:szCs w:val="22"/>
        </w:rPr>
        <w:t>care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 to </w:t>
      </w:r>
      <w:r w:rsidRPr="006E221F">
        <w:rPr>
          <w:rFonts w:asciiTheme="majorHAnsi" w:hAnsiTheme="majorHAnsi" w:cstheme="majorHAnsi"/>
          <w:color w:val="000000"/>
          <w:sz w:val="22"/>
          <w:szCs w:val="22"/>
        </w:rPr>
        <w:t>move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 warehoused</w:t>
      </w:r>
      <w:r w:rsidRPr="006E221F">
        <w:rPr>
          <w:rFonts w:asciiTheme="majorHAnsi" w:hAnsiTheme="majorHAnsi" w:cstheme="majorHAnsi"/>
          <w:color w:val="000000"/>
          <w:sz w:val="22"/>
          <w:szCs w:val="22"/>
        </w:rPr>
        <w:t xml:space="preserve"> inventory from an off-site 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location </w:t>
      </w:r>
      <w:r w:rsidRPr="006E221F">
        <w:rPr>
          <w:rFonts w:asciiTheme="majorHAnsi" w:hAnsiTheme="majorHAnsi" w:cstheme="majorHAnsi"/>
          <w:color w:val="000000"/>
          <w:sz w:val="22"/>
          <w:szCs w:val="22"/>
        </w:rPr>
        <w:t xml:space="preserve">to a newly constructed building adjacent to 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>its</w:t>
      </w:r>
      <w:r w:rsidRPr="006E221F">
        <w:rPr>
          <w:rFonts w:asciiTheme="majorHAnsi" w:hAnsiTheme="majorHAnsi" w:cstheme="majorHAnsi"/>
          <w:color w:val="000000"/>
          <w:sz w:val="22"/>
          <w:szCs w:val="22"/>
        </w:rPr>
        <w:t xml:space="preserve"> current facility. 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This centralization will </w:t>
      </w:r>
      <w:r w:rsidRPr="006E221F">
        <w:rPr>
          <w:rFonts w:asciiTheme="majorHAnsi" w:hAnsiTheme="majorHAnsi" w:cstheme="majorHAnsi"/>
          <w:color w:val="000000"/>
          <w:sz w:val="22"/>
          <w:szCs w:val="22"/>
        </w:rPr>
        <w:t>improve workflow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, and </w:t>
      </w:r>
      <w:r w:rsidR="00371F58">
        <w:rPr>
          <w:rFonts w:asciiTheme="majorHAnsi" w:hAnsiTheme="majorHAnsi" w:cstheme="majorHAnsi"/>
          <w:color w:val="000000"/>
          <w:sz w:val="22"/>
          <w:szCs w:val="22"/>
        </w:rPr>
        <w:t xml:space="preserve">pave the way for 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>an additional planned expansion</w:t>
      </w:r>
      <w:r w:rsidRPr="006E221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E221F">
        <w:rPr>
          <w:rFonts w:asciiTheme="majorHAnsi" w:hAnsiTheme="majorHAnsi" w:cstheme="majorHAnsi"/>
          <w:color w:val="000000"/>
          <w:sz w:val="22"/>
          <w:szCs w:val="22"/>
        </w:rPr>
        <w:t xml:space="preserve">in the coming years. Part of this new space will be apportioned for expanded assembly capacity and capabilities, a nod to growing market demands for premium medical device components. </w:t>
      </w:r>
    </w:p>
    <w:p w14:paraId="424EC382" w14:textId="1DB3B34D" w:rsidR="002F726B" w:rsidRPr="00BA4783" w:rsidRDefault="005F26DB" w:rsidP="006E221F">
      <w:pPr>
        <w:rPr>
          <w:rFonts w:asciiTheme="majorHAnsi" w:hAnsiTheme="majorHAnsi" w:cstheme="majorHAnsi"/>
          <w:color w:val="000000"/>
        </w:rPr>
      </w:pPr>
      <w:r>
        <w:rPr>
          <w:i/>
          <w:iCs/>
          <w:color w:val="000000"/>
        </w:rPr>
        <w:t> </w:t>
      </w:r>
    </w:p>
    <w:p w14:paraId="723FC610" w14:textId="5132627D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39FEC6BD" w14:textId="43AAD52E" w:rsidR="002C55A3" w:rsidRPr="00270965" w:rsidRDefault="002C55A3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3153C37E" w14:textId="6E96EF7C" w:rsidR="00613A29" w:rsidRPr="00270965" w:rsidRDefault="005E0F49" w:rsidP="0072635B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About Tekni</w:t>
      </w:r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>Plex Healthcare</w:t>
      </w:r>
    </w:p>
    <w:p w14:paraId="07F06498" w14:textId="672DAA87" w:rsidR="002F77D9" w:rsidRPr="00270965" w:rsidRDefault="005E0F49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 utilizes advanced materials science expertise and technologies to develop and deliver critical solutions for medical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and diagnostic 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medical </w:t>
      </w:r>
      <w:r w:rsidR="00613A29" w:rsidRPr="00270965">
        <w:rPr>
          <w:rFonts w:asciiTheme="majorHAnsi" w:hAnsiTheme="majorHAnsi" w:cstheme="majorHAnsi"/>
          <w:sz w:val="22"/>
          <w:szCs w:val="22"/>
        </w:rPr>
        <w:t>landscape helps it produce exemplary barrier properties for drugs and precision medical devices for interventional an</w:t>
      </w:r>
      <w:r>
        <w:rPr>
          <w:rFonts w:asciiTheme="majorHAnsi" w:hAnsiTheme="majorHAnsi" w:cstheme="majorHAnsi"/>
          <w:sz w:val="22"/>
          <w:szCs w:val="22"/>
        </w:rPr>
        <w:t>d therapeutic procedures. 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Healthcare’s ever-evolving portfolio helps meet demands for high-leverage medicines and mission-critical healthcare products that benefit </w:t>
      </w:r>
      <w:r w:rsidR="00EF4994" w:rsidRPr="00270965">
        <w:rPr>
          <w:rFonts w:asciiTheme="majorHAnsi" w:hAnsiTheme="majorHAnsi" w:cstheme="majorHAnsi"/>
          <w:sz w:val="22"/>
          <w:szCs w:val="22"/>
        </w:rPr>
        <w:t>care providers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 and </w:t>
      </w:r>
      <w:r w:rsidR="004660AD" w:rsidRPr="00270965">
        <w:rPr>
          <w:rFonts w:asciiTheme="majorHAnsi" w:hAnsiTheme="majorHAnsi" w:cstheme="majorHAnsi"/>
          <w:sz w:val="22"/>
          <w:szCs w:val="22"/>
        </w:rPr>
        <w:t>patients.</w:t>
      </w:r>
      <w:r w:rsidR="00CA6030" w:rsidRPr="00270965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="00CA6030" w:rsidRPr="00270965">
        <w:rPr>
          <w:rFonts w:asciiTheme="majorHAnsi" w:eastAsia="Calibri" w:hAnsiTheme="majorHAnsi" w:cstheme="majorHAnsi"/>
          <w:sz w:val="22"/>
          <w:szCs w:val="22"/>
        </w:rPr>
        <w:t>For more information</w:t>
      </w:r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 visit </w:t>
      </w:r>
      <w:hyperlink r:id="rId12" w:history="1">
        <w:r w:rsidR="005A35A3" w:rsidRPr="0027096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sectPr w:rsidR="002F77D9" w:rsidRPr="00270965" w:rsidSect="001257F7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858"/>
    <w:multiLevelType w:val="hybridMultilevel"/>
    <w:tmpl w:val="FDC075A2"/>
    <w:lvl w:ilvl="0" w:tplc="6BA0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A8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2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E9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0F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0E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E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E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029C3"/>
    <w:multiLevelType w:val="hybridMultilevel"/>
    <w:tmpl w:val="F2067598"/>
    <w:lvl w:ilvl="0" w:tplc="A63CFD7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A06EF"/>
    <w:multiLevelType w:val="hybridMultilevel"/>
    <w:tmpl w:val="4596EF9E"/>
    <w:lvl w:ilvl="0" w:tplc="46BC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200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26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0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E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A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0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E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C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2194B"/>
    <w:multiLevelType w:val="hybridMultilevel"/>
    <w:tmpl w:val="3678E1FA"/>
    <w:lvl w:ilvl="0" w:tplc="DCBA8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0DC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2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6F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46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28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A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9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0D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F42F7"/>
    <w:multiLevelType w:val="hybridMultilevel"/>
    <w:tmpl w:val="8EEEB3FE"/>
    <w:lvl w:ilvl="0" w:tplc="B5C6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CE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C2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E3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61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68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AF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147982">
    <w:abstractNumId w:val="19"/>
  </w:num>
  <w:num w:numId="2" w16cid:durableId="867254128">
    <w:abstractNumId w:val="3"/>
  </w:num>
  <w:num w:numId="3" w16cid:durableId="492330272">
    <w:abstractNumId w:val="0"/>
  </w:num>
  <w:num w:numId="4" w16cid:durableId="1240825262">
    <w:abstractNumId w:val="4"/>
  </w:num>
  <w:num w:numId="5" w16cid:durableId="96221317">
    <w:abstractNumId w:val="7"/>
  </w:num>
  <w:num w:numId="6" w16cid:durableId="496848650">
    <w:abstractNumId w:val="10"/>
  </w:num>
  <w:num w:numId="7" w16cid:durableId="241138676">
    <w:abstractNumId w:val="5"/>
  </w:num>
  <w:num w:numId="8" w16cid:durableId="1373455123">
    <w:abstractNumId w:val="14"/>
  </w:num>
  <w:num w:numId="9" w16cid:durableId="1752115647">
    <w:abstractNumId w:val="11"/>
  </w:num>
  <w:num w:numId="10" w16cid:durableId="140118429">
    <w:abstractNumId w:val="13"/>
  </w:num>
  <w:num w:numId="11" w16cid:durableId="1399012312">
    <w:abstractNumId w:val="9"/>
  </w:num>
  <w:num w:numId="12" w16cid:durableId="5989253">
    <w:abstractNumId w:val="16"/>
  </w:num>
  <w:num w:numId="13" w16cid:durableId="55709443">
    <w:abstractNumId w:val="18"/>
  </w:num>
  <w:num w:numId="14" w16cid:durableId="285739206">
    <w:abstractNumId w:val="8"/>
  </w:num>
  <w:num w:numId="15" w16cid:durableId="929896068">
    <w:abstractNumId w:val="1"/>
  </w:num>
  <w:num w:numId="16" w16cid:durableId="1443299675">
    <w:abstractNumId w:val="12"/>
  </w:num>
  <w:num w:numId="17" w16cid:durableId="312756160">
    <w:abstractNumId w:val="17"/>
  </w:num>
  <w:num w:numId="18" w16cid:durableId="88352256">
    <w:abstractNumId w:val="2"/>
  </w:num>
  <w:num w:numId="19" w16cid:durableId="1056201776">
    <w:abstractNumId w:val="15"/>
  </w:num>
  <w:num w:numId="20" w16cid:durableId="287586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27C2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B44"/>
    <w:rsid w:val="00024C33"/>
    <w:rsid w:val="00024EA4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760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C3"/>
    <w:rsid w:val="000866CD"/>
    <w:rsid w:val="000869F4"/>
    <w:rsid w:val="0009244B"/>
    <w:rsid w:val="00094A4C"/>
    <w:rsid w:val="000958E6"/>
    <w:rsid w:val="00096A99"/>
    <w:rsid w:val="000973BC"/>
    <w:rsid w:val="00097BB0"/>
    <w:rsid w:val="000A1427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21C7"/>
    <w:rsid w:val="000C3FFF"/>
    <w:rsid w:val="000C4BF6"/>
    <w:rsid w:val="000C7079"/>
    <w:rsid w:val="000D300A"/>
    <w:rsid w:val="000D38D5"/>
    <w:rsid w:val="000D5499"/>
    <w:rsid w:val="000D554D"/>
    <w:rsid w:val="000D5F49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843"/>
    <w:rsid w:val="000F52CE"/>
    <w:rsid w:val="000F76D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57F7"/>
    <w:rsid w:val="00127768"/>
    <w:rsid w:val="00127DEA"/>
    <w:rsid w:val="00130476"/>
    <w:rsid w:val="00131941"/>
    <w:rsid w:val="001351E8"/>
    <w:rsid w:val="00135AA3"/>
    <w:rsid w:val="00136CAC"/>
    <w:rsid w:val="00137BEB"/>
    <w:rsid w:val="00140410"/>
    <w:rsid w:val="00140B6C"/>
    <w:rsid w:val="00141A44"/>
    <w:rsid w:val="00145156"/>
    <w:rsid w:val="0014564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207F"/>
    <w:rsid w:val="00162EAD"/>
    <w:rsid w:val="00164C8A"/>
    <w:rsid w:val="00165390"/>
    <w:rsid w:val="001657C2"/>
    <w:rsid w:val="00165BB4"/>
    <w:rsid w:val="00167886"/>
    <w:rsid w:val="00167DBC"/>
    <w:rsid w:val="00174FC8"/>
    <w:rsid w:val="0017655C"/>
    <w:rsid w:val="00176980"/>
    <w:rsid w:val="00177E56"/>
    <w:rsid w:val="00180F46"/>
    <w:rsid w:val="0018130C"/>
    <w:rsid w:val="00181C7C"/>
    <w:rsid w:val="00182E6E"/>
    <w:rsid w:val="00183FAC"/>
    <w:rsid w:val="00186AEF"/>
    <w:rsid w:val="00186DCE"/>
    <w:rsid w:val="0019125D"/>
    <w:rsid w:val="00192539"/>
    <w:rsid w:val="00193FC9"/>
    <w:rsid w:val="00196157"/>
    <w:rsid w:val="001A01D8"/>
    <w:rsid w:val="001A09CA"/>
    <w:rsid w:val="001A0CBE"/>
    <w:rsid w:val="001A13E7"/>
    <w:rsid w:val="001A4CEE"/>
    <w:rsid w:val="001B191F"/>
    <w:rsid w:val="001B4515"/>
    <w:rsid w:val="001B57D9"/>
    <w:rsid w:val="001B7C98"/>
    <w:rsid w:val="001C13A9"/>
    <w:rsid w:val="001C167C"/>
    <w:rsid w:val="001C25C5"/>
    <w:rsid w:val="001C3330"/>
    <w:rsid w:val="001D09B2"/>
    <w:rsid w:val="001D30B5"/>
    <w:rsid w:val="001D3B5A"/>
    <w:rsid w:val="001D62E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7820"/>
    <w:rsid w:val="001F7BCB"/>
    <w:rsid w:val="00200C3A"/>
    <w:rsid w:val="00200C50"/>
    <w:rsid w:val="00202085"/>
    <w:rsid w:val="002023C2"/>
    <w:rsid w:val="002032C5"/>
    <w:rsid w:val="0020363C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33E5"/>
    <w:rsid w:val="00223833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41AD3"/>
    <w:rsid w:val="00241C16"/>
    <w:rsid w:val="002436E8"/>
    <w:rsid w:val="00243F8F"/>
    <w:rsid w:val="00244044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3B6"/>
    <w:rsid w:val="002628A7"/>
    <w:rsid w:val="00263289"/>
    <w:rsid w:val="0026402D"/>
    <w:rsid w:val="00264BE7"/>
    <w:rsid w:val="00265DE8"/>
    <w:rsid w:val="00266403"/>
    <w:rsid w:val="0026711C"/>
    <w:rsid w:val="00270965"/>
    <w:rsid w:val="002720D8"/>
    <w:rsid w:val="00272240"/>
    <w:rsid w:val="00274F9F"/>
    <w:rsid w:val="00275119"/>
    <w:rsid w:val="0027561D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737"/>
    <w:rsid w:val="002B3DBF"/>
    <w:rsid w:val="002B569A"/>
    <w:rsid w:val="002B58C3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563"/>
    <w:rsid w:val="002D2A56"/>
    <w:rsid w:val="002D32BA"/>
    <w:rsid w:val="002D44E7"/>
    <w:rsid w:val="002D590B"/>
    <w:rsid w:val="002D635C"/>
    <w:rsid w:val="002D6618"/>
    <w:rsid w:val="002D6AA7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26B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5A9D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2CA6"/>
    <w:rsid w:val="00322E83"/>
    <w:rsid w:val="0032328C"/>
    <w:rsid w:val="00323EAE"/>
    <w:rsid w:val="003256FD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79E"/>
    <w:rsid w:val="003628A8"/>
    <w:rsid w:val="00362F2C"/>
    <w:rsid w:val="00364C00"/>
    <w:rsid w:val="00365A83"/>
    <w:rsid w:val="003661F2"/>
    <w:rsid w:val="003710FF"/>
    <w:rsid w:val="00371F58"/>
    <w:rsid w:val="00373BEF"/>
    <w:rsid w:val="00373E30"/>
    <w:rsid w:val="00374C35"/>
    <w:rsid w:val="00374D70"/>
    <w:rsid w:val="00376FF2"/>
    <w:rsid w:val="00380901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0A9"/>
    <w:rsid w:val="004069B4"/>
    <w:rsid w:val="00406E67"/>
    <w:rsid w:val="004079BC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B0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2694"/>
    <w:rsid w:val="00493FBB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1446"/>
    <w:rsid w:val="004D21B2"/>
    <w:rsid w:val="004D3C42"/>
    <w:rsid w:val="004D44C3"/>
    <w:rsid w:val="004D47AC"/>
    <w:rsid w:val="004D548F"/>
    <w:rsid w:val="004D6753"/>
    <w:rsid w:val="004D70D1"/>
    <w:rsid w:val="004E16FD"/>
    <w:rsid w:val="004E180A"/>
    <w:rsid w:val="004E2592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24F4"/>
    <w:rsid w:val="005138A9"/>
    <w:rsid w:val="00514CA3"/>
    <w:rsid w:val="00517610"/>
    <w:rsid w:val="00523008"/>
    <w:rsid w:val="005257D0"/>
    <w:rsid w:val="00525969"/>
    <w:rsid w:val="00526A43"/>
    <w:rsid w:val="00526F1F"/>
    <w:rsid w:val="00531654"/>
    <w:rsid w:val="00533725"/>
    <w:rsid w:val="00533C83"/>
    <w:rsid w:val="005345CA"/>
    <w:rsid w:val="00536E2D"/>
    <w:rsid w:val="005415E3"/>
    <w:rsid w:val="00542F17"/>
    <w:rsid w:val="00544D95"/>
    <w:rsid w:val="00545E83"/>
    <w:rsid w:val="0054691C"/>
    <w:rsid w:val="00547789"/>
    <w:rsid w:val="00550E92"/>
    <w:rsid w:val="00551156"/>
    <w:rsid w:val="00551428"/>
    <w:rsid w:val="0055159D"/>
    <w:rsid w:val="005524EB"/>
    <w:rsid w:val="00554571"/>
    <w:rsid w:val="00554C2A"/>
    <w:rsid w:val="00555899"/>
    <w:rsid w:val="005559FF"/>
    <w:rsid w:val="00560749"/>
    <w:rsid w:val="005608CA"/>
    <w:rsid w:val="0056280C"/>
    <w:rsid w:val="00562E13"/>
    <w:rsid w:val="00563D2B"/>
    <w:rsid w:val="0056427A"/>
    <w:rsid w:val="005644BD"/>
    <w:rsid w:val="00564AFB"/>
    <w:rsid w:val="00564B44"/>
    <w:rsid w:val="005665FE"/>
    <w:rsid w:val="00566E80"/>
    <w:rsid w:val="00567255"/>
    <w:rsid w:val="0057124A"/>
    <w:rsid w:val="00572774"/>
    <w:rsid w:val="005730A0"/>
    <w:rsid w:val="00573340"/>
    <w:rsid w:val="00573F76"/>
    <w:rsid w:val="005744CC"/>
    <w:rsid w:val="005746C1"/>
    <w:rsid w:val="0057486A"/>
    <w:rsid w:val="00574901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15C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5557"/>
    <w:rsid w:val="005D59FD"/>
    <w:rsid w:val="005D7FE1"/>
    <w:rsid w:val="005E04ED"/>
    <w:rsid w:val="005E0F49"/>
    <w:rsid w:val="005E111C"/>
    <w:rsid w:val="005E2FC0"/>
    <w:rsid w:val="005E50AF"/>
    <w:rsid w:val="005E5DDF"/>
    <w:rsid w:val="005F092A"/>
    <w:rsid w:val="005F1579"/>
    <w:rsid w:val="005F1D5A"/>
    <w:rsid w:val="005F1E7A"/>
    <w:rsid w:val="005F210E"/>
    <w:rsid w:val="005F26DB"/>
    <w:rsid w:val="005F285E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A29"/>
    <w:rsid w:val="00614927"/>
    <w:rsid w:val="006149FE"/>
    <w:rsid w:val="00614E53"/>
    <w:rsid w:val="00616505"/>
    <w:rsid w:val="00620445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F71"/>
    <w:rsid w:val="006330C8"/>
    <w:rsid w:val="00634FBF"/>
    <w:rsid w:val="00635541"/>
    <w:rsid w:val="00635BED"/>
    <w:rsid w:val="006364F4"/>
    <w:rsid w:val="00636F0F"/>
    <w:rsid w:val="006371D6"/>
    <w:rsid w:val="00640430"/>
    <w:rsid w:val="00640EEC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604D4"/>
    <w:rsid w:val="00661CAE"/>
    <w:rsid w:val="006626C6"/>
    <w:rsid w:val="00663F0C"/>
    <w:rsid w:val="006642E0"/>
    <w:rsid w:val="00665465"/>
    <w:rsid w:val="00666635"/>
    <w:rsid w:val="00671CE7"/>
    <w:rsid w:val="00671D71"/>
    <w:rsid w:val="0067224A"/>
    <w:rsid w:val="006726DB"/>
    <w:rsid w:val="00676BC1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4CD5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AB2"/>
    <w:rsid w:val="006C0909"/>
    <w:rsid w:val="006C0A49"/>
    <w:rsid w:val="006C0FC1"/>
    <w:rsid w:val="006C5169"/>
    <w:rsid w:val="006C5277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21F"/>
    <w:rsid w:val="006E26C5"/>
    <w:rsid w:val="006E28D9"/>
    <w:rsid w:val="006E30D8"/>
    <w:rsid w:val="006E4BCE"/>
    <w:rsid w:val="006E5513"/>
    <w:rsid w:val="006E6E1E"/>
    <w:rsid w:val="006F201F"/>
    <w:rsid w:val="006F32C4"/>
    <w:rsid w:val="006F3F9A"/>
    <w:rsid w:val="006F4D36"/>
    <w:rsid w:val="006F54A9"/>
    <w:rsid w:val="006F5CDD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4CEB"/>
    <w:rsid w:val="00735159"/>
    <w:rsid w:val="007351AC"/>
    <w:rsid w:val="00735A23"/>
    <w:rsid w:val="00735D08"/>
    <w:rsid w:val="00736C1B"/>
    <w:rsid w:val="00737146"/>
    <w:rsid w:val="007371B5"/>
    <w:rsid w:val="00741A6F"/>
    <w:rsid w:val="00743F33"/>
    <w:rsid w:val="0074422D"/>
    <w:rsid w:val="007442E7"/>
    <w:rsid w:val="007445F4"/>
    <w:rsid w:val="00746468"/>
    <w:rsid w:val="007534E9"/>
    <w:rsid w:val="0075431E"/>
    <w:rsid w:val="007560A6"/>
    <w:rsid w:val="0075652C"/>
    <w:rsid w:val="00756E35"/>
    <w:rsid w:val="007615C4"/>
    <w:rsid w:val="0076254C"/>
    <w:rsid w:val="0077079C"/>
    <w:rsid w:val="00770D29"/>
    <w:rsid w:val="00774158"/>
    <w:rsid w:val="00774668"/>
    <w:rsid w:val="007752D9"/>
    <w:rsid w:val="00775DA0"/>
    <w:rsid w:val="00780B5E"/>
    <w:rsid w:val="00780FAF"/>
    <w:rsid w:val="007852FF"/>
    <w:rsid w:val="00785846"/>
    <w:rsid w:val="00787214"/>
    <w:rsid w:val="00787DD8"/>
    <w:rsid w:val="00790179"/>
    <w:rsid w:val="007908B8"/>
    <w:rsid w:val="007911BA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0CDA"/>
    <w:rsid w:val="007C1C11"/>
    <w:rsid w:val="007C366E"/>
    <w:rsid w:val="007C43C9"/>
    <w:rsid w:val="007C75D2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6B01"/>
    <w:rsid w:val="007E708D"/>
    <w:rsid w:val="007E7CEF"/>
    <w:rsid w:val="007E7FF1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E05"/>
    <w:rsid w:val="00803DF7"/>
    <w:rsid w:val="0080432B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6309"/>
    <w:rsid w:val="008174C5"/>
    <w:rsid w:val="00822A4C"/>
    <w:rsid w:val="00825DF9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4A27"/>
    <w:rsid w:val="008453AA"/>
    <w:rsid w:val="008457DE"/>
    <w:rsid w:val="00846371"/>
    <w:rsid w:val="00846900"/>
    <w:rsid w:val="00852C5F"/>
    <w:rsid w:val="00852E4E"/>
    <w:rsid w:val="00855234"/>
    <w:rsid w:val="00862C07"/>
    <w:rsid w:val="008637D7"/>
    <w:rsid w:val="008646C1"/>
    <w:rsid w:val="00864EFE"/>
    <w:rsid w:val="008664C0"/>
    <w:rsid w:val="008672C8"/>
    <w:rsid w:val="00870893"/>
    <w:rsid w:val="00872CA4"/>
    <w:rsid w:val="00874BAC"/>
    <w:rsid w:val="0087655F"/>
    <w:rsid w:val="008772C3"/>
    <w:rsid w:val="008805A7"/>
    <w:rsid w:val="008821BF"/>
    <w:rsid w:val="0088239A"/>
    <w:rsid w:val="00883279"/>
    <w:rsid w:val="00884058"/>
    <w:rsid w:val="00884606"/>
    <w:rsid w:val="0088565B"/>
    <w:rsid w:val="0088626D"/>
    <w:rsid w:val="0089024F"/>
    <w:rsid w:val="00890770"/>
    <w:rsid w:val="00890AAB"/>
    <w:rsid w:val="00891B77"/>
    <w:rsid w:val="0089248E"/>
    <w:rsid w:val="00894E83"/>
    <w:rsid w:val="00894EE8"/>
    <w:rsid w:val="00897013"/>
    <w:rsid w:val="008A0050"/>
    <w:rsid w:val="008A10D9"/>
    <w:rsid w:val="008A2208"/>
    <w:rsid w:val="008A5BB8"/>
    <w:rsid w:val="008A7368"/>
    <w:rsid w:val="008B0A67"/>
    <w:rsid w:val="008B0C40"/>
    <w:rsid w:val="008B1E2C"/>
    <w:rsid w:val="008B2A02"/>
    <w:rsid w:val="008B3826"/>
    <w:rsid w:val="008B49C3"/>
    <w:rsid w:val="008B755A"/>
    <w:rsid w:val="008B75F2"/>
    <w:rsid w:val="008C0626"/>
    <w:rsid w:val="008C1745"/>
    <w:rsid w:val="008C343D"/>
    <w:rsid w:val="008C490B"/>
    <w:rsid w:val="008C4BA5"/>
    <w:rsid w:val="008C645B"/>
    <w:rsid w:val="008C6D62"/>
    <w:rsid w:val="008C7995"/>
    <w:rsid w:val="008D2CC3"/>
    <w:rsid w:val="008D3ECF"/>
    <w:rsid w:val="008D4023"/>
    <w:rsid w:val="008D59E8"/>
    <w:rsid w:val="008E1118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2099"/>
    <w:rsid w:val="00902116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2F59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45999"/>
    <w:rsid w:val="00951098"/>
    <w:rsid w:val="00951789"/>
    <w:rsid w:val="0095200E"/>
    <w:rsid w:val="0095291C"/>
    <w:rsid w:val="009531FA"/>
    <w:rsid w:val="009534B0"/>
    <w:rsid w:val="00957064"/>
    <w:rsid w:val="00960B5C"/>
    <w:rsid w:val="00960BBC"/>
    <w:rsid w:val="00961497"/>
    <w:rsid w:val="00963F8D"/>
    <w:rsid w:val="009649D8"/>
    <w:rsid w:val="00965BEC"/>
    <w:rsid w:val="00966A92"/>
    <w:rsid w:val="0097044A"/>
    <w:rsid w:val="009706F3"/>
    <w:rsid w:val="00971C95"/>
    <w:rsid w:val="0097229B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2CC"/>
    <w:rsid w:val="00995B8F"/>
    <w:rsid w:val="00996493"/>
    <w:rsid w:val="009A07D7"/>
    <w:rsid w:val="009A09B3"/>
    <w:rsid w:val="009A137C"/>
    <w:rsid w:val="009A30EA"/>
    <w:rsid w:val="009A3BCF"/>
    <w:rsid w:val="009A4E53"/>
    <w:rsid w:val="009A6044"/>
    <w:rsid w:val="009A6F77"/>
    <w:rsid w:val="009B1083"/>
    <w:rsid w:val="009B1FFC"/>
    <w:rsid w:val="009B383D"/>
    <w:rsid w:val="009B6230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D2517"/>
    <w:rsid w:val="009D30D0"/>
    <w:rsid w:val="009D4E1D"/>
    <w:rsid w:val="009D5EE5"/>
    <w:rsid w:val="009D6017"/>
    <w:rsid w:val="009D7CD7"/>
    <w:rsid w:val="009E0C81"/>
    <w:rsid w:val="009E0D91"/>
    <w:rsid w:val="009E1224"/>
    <w:rsid w:val="009E12DA"/>
    <w:rsid w:val="009E1BF7"/>
    <w:rsid w:val="009E515F"/>
    <w:rsid w:val="009E51D2"/>
    <w:rsid w:val="009F0B9E"/>
    <w:rsid w:val="009F2674"/>
    <w:rsid w:val="009F395B"/>
    <w:rsid w:val="009F71D2"/>
    <w:rsid w:val="009F78B5"/>
    <w:rsid w:val="009F7B77"/>
    <w:rsid w:val="00A00507"/>
    <w:rsid w:val="00A00D43"/>
    <w:rsid w:val="00A03836"/>
    <w:rsid w:val="00A03FA1"/>
    <w:rsid w:val="00A04714"/>
    <w:rsid w:val="00A10D7E"/>
    <w:rsid w:val="00A124E7"/>
    <w:rsid w:val="00A12B9C"/>
    <w:rsid w:val="00A13F09"/>
    <w:rsid w:val="00A17F3F"/>
    <w:rsid w:val="00A2113F"/>
    <w:rsid w:val="00A21CF9"/>
    <w:rsid w:val="00A22336"/>
    <w:rsid w:val="00A22D6D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1436"/>
    <w:rsid w:val="00A41951"/>
    <w:rsid w:val="00A424DF"/>
    <w:rsid w:val="00A42BF2"/>
    <w:rsid w:val="00A42F8C"/>
    <w:rsid w:val="00A4506E"/>
    <w:rsid w:val="00A4550A"/>
    <w:rsid w:val="00A47F05"/>
    <w:rsid w:val="00A51B38"/>
    <w:rsid w:val="00A52049"/>
    <w:rsid w:val="00A52A30"/>
    <w:rsid w:val="00A531EC"/>
    <w:rsid w:val="00A53A4B"/>
    <w:rsid w:val="00A54803"/>
    <w:rsid w:val="00A56127"/>
    <w:rsid w:val="00A569F4"/>
    <w:rsid w:val="00A57696"/>
    <w:rsid w:val="00A61ABF"/>
    <w:rsid w:val="00A625F2"/>
    <w:rsid w:val="00A65210"/>
    <w:rsid w:val="00A65FEE"/>
    <w:rsid w:val="00A703CE"/>
    <w:rsid w:val="00A71B02"/>
    <w:rsid w:val="00A744FE"/>
    <w:rsid w:val="00A76E92"/>
    <w:rsid w:val="00A81885"/>
    <w:rsid w:val="00A843B4"/>
    <w:rsid w:val="00A84562"/>
    <w:rsid w:val="00A84E68"/>
    <w:rsid w:val="00A90136"/>
    <w:rsid w:val="00A9147D"/>
    <w:rsid w:val="00A91B10"/>
    <w:rsid w:val="00A91ECF"/>
    <w:rsid w:val="00A92831"/>
    <w:rsid w:val="00A93AE1"/>
    <w:rsid w:val="00A94083"/>
    <w:rsid w:val="00A961BA"/>
    <w:rsid w:val="00A973A6"/>
    <w:rsid w:val="00A97581"/>
    <w:rsid w:val="00A97861"/>
    <w:rsid w:val="00A97A77"/>
    <w:rsid w:val="00AA2F62"/>
    <w:rsid w:val="00AA3D2C"/>
    <w:rsid w:val="00AA42C0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3EF8"/>
    <w:rsid w:val="00AC4EB7"/>
    <w:rsid w:val="00AD0DD2"/>
    <w:rsid w:val="00AD18D9"/>
    <w:rsid w:val="00AD215A"/>
    <w:rsid w:val="00AD5117"/>
    <w:rsid w:val="00AD5879"/>
    <w:rsid w:val="00AD5C51"/>
    <w:rsid w:val="00AD5FBA"/>
    <w:rsid w:val="00AE0C92"/>
    <w:rsid w:val="00AE3D17"/>
    <w:rsid w:val="00AE6596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9B1"/>
    <w:rsid w:val="00B23670"/>
    <w:rsid w:val="00B25E49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6D0A"/>
    <w:rsid w:val="00B50537"/>
    <w:rsid w:val="00B511F5"/>
    <w:rsid w:val="00B51D10"/>
    <w:rsid w:val="00B53627"/>
    <w:rsid w:val="00B53B6E"/>
    <w:rsid w:val="00B561F4"/>
    <w:rsid w:val="00B57036"/>
    <w:rsid w:val="00B57C7C"/>
    <w:rsid w:val="00B60062"/>
    <w:rsid w:val="00B624EF"/>
    <w:rsid w:val="00B62F14"/>
    <w:rsid w:val="00B642CA"/>
    <w:rsid w:val="00B64DB2"/>
    <w:rsid w:val="00B66C82"/>
    <w:rsid w:val="00B721DA"/>
    <w:rsid w:val="00B73722"/>
    <w:rsid w:val="00B737A2"/>
    <w:rsid w:val="00B75F86"/>
    <w:rsid w:val="00B769F0"/>
    <w:rsid w:val="00B76E44"/>
    <w:rsid w:val="00B779BD"/>
    <w:rsid w:val="00B8205F"/>
    <w:rsid w:val="00B8232F"/>
    <w:rsid w:val="00B84A20"/>
    <w:rsid w:val="00B854A8"/>
    <w:rsid w:val="00B85BC7"/>
    <w:rsid w:val="00B90110"/>
    <w:rsid w:val="00B90CF2"/>
    <w:rsid w:val="00B928A8"/>
    <w:rsid w:val="00B93750"/>
    <w:rsid w:val="00B95531"/>
    <w:rsid w:val="00B96CA9"/>
    <w:rsid w:val="00B9735E"/>
    <w:rsid w:val="00B9736C"/>
    <w:rsid w:val="00BA1848"/>
    <w:rsid w:val="00BA2CD2"/>
    <w:rsid w:val="00BA4783"/>
    <w:rsid w:val="00BA508F"/>
    <w:rsid w:val="00BA5B4F"/>
    <w:rsid w:val="00BA7B53"/>
    <w:rsid w:val="00BB0ED4"/>
    <w:rsid w:val="00BB20E9"/>
    <w:rsid w:val="00BB2579"/>
    <w:rsid w:val="00BB2913"/>
    <w:rsid w:val="00BB672B"/>
    <w:rsid w:val="00BB6776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D47FD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66E1"/>
    <w:rsid w:val="00C16D5C"/>
    <w:rsid w:val="00C17616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1269"/>
    <w:rsid w:val="00C347BA"/>
    <w:rsid w:val="00C3656A"/>
    <w:rsid w:val="00C3754B"/>
    <w:rsid w:val="00C376AA"/>
    <w:rsid w:val="00C377C5"/>
    <w:rsid w:val="00C41D4F"/>
    <w:rsid w:val="00C43037"/>
    <w:rsid w:val="00C4422D"/>
    <w:rsid w:val="00C47DFC"/>
    <w:rsid w:val="00C504D6"/>
    <w:rsid w:val="00C506B1"/>
    <w:rsid w:val="00C50913"/>
    <w:rsid w:val="00C50DEC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0B14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4097"/>
    <w:rsid w:val="00C95728"/>
    <w:rsid w:val="00C957D9"/>
    <w:rsid w:val="00C963D2"/>
    <w:rsid w:val="00C970CF"/>
    <w:rsid w:val="00C978D0"/>
    <w:rsid w:val="00CA0CAA"/>
    <w:rsid w:val="00CA2967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43C5"/>
    <w:rsid w:val="00CB4E64"/>
    <w:rsid w:val="00CB5978"/>
    <w:rsid w:val="00CB5E50"/>
    <w:rsid w:val="00CC14AC"/>
    <w:rsid w:val="00CC192D"/>
    <w:rsid w:val="00CC4896"/>
    <w:rsid w:val="00CC7069"/>
    <w:rsid w:val="00CD0F22"/>
    <w:rsid w:val="00CD46E0"/>
    <w:rsid w:val="00CD69FF"/>
    <w:rsid w:val="00CE38F5"/>
    <w:rsid w:val="00CE43EF"/>
    <w:rsid w:val="00CE657F"/>
    <w:rsid w:val="00CE66A0"/>
    <w:rsid w:val="00CE6EFF"/>
    <w:rsid w:val="00CF2A51"/>
    <w:rsid w:val="00CF6B45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218"/>
    <w:rsid w:val="00D71E04"/>
    <w:rsid w:val="00D73D72"/>
    <w:rsid w:val="00D761E6"/>
    <w:rsid w:val="00D7696A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B0344"/>
    <w:rsid w:val="00DB11ED"/>
    <w:rsid w:val="00DB2A56"/>
    <w:rsid w:val="00DB3628"/>
    <w:rsid w:val="00DB3ED1"/>
    <w:rsid w:val="00DB4290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C7FFC"/>
    <w:rsid w:val="00DD1565"/>
    <w:rsid w:val="00DD1BF7"/>
    <w:rsid w:val="00DD309B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379E"/>
    <w:rsid w:val="00E14DAA"/>
    <w:rsid w:val="00E14E86"/>
    <w:rsid w:val="00E174F7"/>
    <w:rsid w:val="00E20A14"/>
    <w:rsid w:val="00E20BF7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4152"/>
    <w:rsid w:val="00E379CE"/>
    <w:rsid w:val="00E37CA8"/>
    <w:rsid w:val="00E41B35"/>
    <w:rsid w:val="00E421FD"/>
    <w:rsid w:val="00E424DD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16C"/>
    <w:rsid w:val="00EB0C9F"/>
    <w:rsid w:val="00EB1F93"/>
    <w:rsid w:val="00EB2AC9"/>
    <w:rsid w:val="00EB3748"/>
    <w:rsid w:val="00EB4BC6"/>
    <w:rsid w:val="00EB5C5A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E59"/>
    <w:rsid w:val="00EE0D36"/>
    <w:rsid w:val="00EE0E56"/>
    <w:rsid w:val="00EE2B8C"/>
    <w:rsid w:val="00EE4BA1"/>
    <w:rsid w:val="00EE4C40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192D"/>
    <w:rsid w:val="00F01E0F"/>
    <w:rsid w:val="00F068DA"/>
    <w:rsid w:val="00F113BB"/>
    <w:rsid w:val="00F12C49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63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3265"/>
    <w:rsid w:val="00F744DE"/>
    <w:rsid w:val="00F745DD"/>
    <w:rsid w:val="00F74ABC"/>
    <w:rsid w:val="00F75D79"/>
    <w:rsid w:val="00F76841"/>
    <w:rsid w:val="00F77748"/>
    <w:rsid w:val="00F77CC0"/>
    <w:rsid w:val="00F82458"/>
    <w:rsid w:val="00F83049"/>
    <w:rsid w:val="00F8591E"/>
    <w:rsid w:val="00F85D8F"/>
    <w:rsid w:val="00F863CA"/>
    <w:rsid w:val="00F87326"/>
    <w:rsid w:val="00F914D4"/>
    <w:rsid w:val="00F91704"/>
    <w:rsid w:val="00F91884"/>
    <w:rsid w:val="00F932CE"/>
    <w:rsid w:val="00F965E5"/>
    <w:rsid w:val="00F972CE"/>
    <w:rsid w:val="00FA2642"/>
    <w:rsid w:val="00FA4497"/>
    <w:rsid w:val="00FA4DFC"/>
    <w:rsid w:val="00FA65AD"/>
    <w:rsid w:val="00FA6870"/>
    <w:rsid w:val="00FB1B0D"/>
    <w:rsid w:val="00FB3E0A"/>
    <w:rsid w:val="00FB4578"/>
    <w:rsid w:val="00FC535F"/>
    <w:rsid w:val="00FC7D85"/>
    <w:rsid w:val="00FD2826"/>
    <w:rsid w:val="00FD33BF"/>
    <w:rsid w:val="00FD4484"/>
    <w:rsid w:val="00FD5383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57AE"/>
    <w:rsid w:val="00FF6A5A"/>
    <w:rsid w:val="00FF7738"/>
    <w:rsid w:val="00FF7D5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725F"/>
  <w15:docId w15:val="{9CD4E02A-920B-47AB-99E0-90C07A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74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66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55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19">
          <w:marLeft w:val="87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417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60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48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kni-plex.com/healthca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ale@turchette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eter.Gavigan@tekni-plex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5" ma:contentTypeDescription="Create a new document." ma:contentTypeScope="" ma:versionID="461f6a94a9887ed49076a1a96a1476d0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a16ff9cf06aea9330863347a0421867c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ef52d-0026-4182-ae25-36fddab171a7" xsi:nil="true"/>
  </documentManagement>
</p:properties>
</file>

<file path=customXml/itemProps1.xml><?xml version="1.0" encoding="utf-8"?>
<ds:datastoreItem xmlns:ds="http://schemas.openxmlformats.org/officeDocument/2006/customXml" ds:itemID="{2C414228-79D7-4F54-A0F2-F17C8A7D0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38D99-138F-4653-A8CD-D76CEA8C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C11DA-98FD-4E4B-BED5-D66950465AC0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dd7ef52d-0026-4182-ae25-36fddab171a7"/>
    <ds:schemaRef ds:uri="http://schemas.microsoft.com/office/infopath/2007/PartnerControls"/>
    <ds:schemaRef ds:uri="b34d2d95-00be-453f-b14f-eb61fe1464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3435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Christopher Dale</cp:lastModifiedBy>
  <cp:revision>2</cp:revision>
  <cp:lastPrinted>2020-01-02T13:33:00Z</cp:lastPrinted>
  <dcterms:created xsi:type="dcterms:W3CDTF">2023-05-15T18:26:00Z</dcterms:created>
  <dcterms:modified xsi:type="dcterms:W3CDTF">2023-05-15T18:26:00Z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