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8BFB" w14:textId="77777777" w:rsidR="00590BDB" w:rsidRDefault="00590BDB" w:rsidP="00590BDB"/>
    <w:p w14:paraId="27C4EB29" w14:textId="3DFCD1E6" w:rsidR="00590BDB" w:rsidRPr="00F0535F" w:rsidRDefault="00590BDB" w:rsidP="00590BDB">
      <w:pPr>
        <w:jc w:val="right"/>
      </w:pPr>
      <w:bookmarkStart w:id="0" w:name="_Hlk119065719"/>
      <w:r w:rsidRPr="00F0535F">
        <w:rPr>
          <w:noProof/>
          <w:lang w:eastAsia="en-GB"/>
        </w:rPr>
        <w:drawing>
          <wp:anchor distT="0" distB="0" distL="114300" distR="114300" simplePos="0" relativeHeight="251659264" behindDoc="0" locked="0" layoutInCell="1" allowOverlap="1" wp14:anchorId="49114DEE" wp14:editId="3F50DAB2">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F0535F">
        <w:rPr>
          <w:noProof/>
          <w:color w:val="005794"/>
          <w:sz w:val="52"/>
          <w:szCs w:val="52"/>
          <w:lang w:eastAsia="en-GB"/>
        </w:rPr>
        <mc:AlternateContent>
          <mc:Choice Requires="wps">
            <w:drawing>
              <wp:anchor distT="45720" distB="45720" distL="114300" distR="114300" simplePos="0" relativeHeight="251660288" behindDoc="0" locked="0" layoutInCell="1" allowOverlap="1" wp14:anchorId="471AC082" wp14:editId="0A7F142D">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32BFFE61" w14:textId="77777777" w:rsidR="00590BDB" w:rsidRPr="003F2DF6" w:rsidRDefault="00590BDB" w:rsidP="00590BDB">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AC082" id="_x0000_t202" coordsize="21600,21600" o:spt="202" path="m,l,21600r21600,l21600,xe">
                <v:stroke joinstyle="miter"/>
                <v:path gradientshapeok="t" o:connecttype="rect"/>
              </v:shapetype>
              <v:shape id="Text Box 2" o:spid="_x0000_s1026" type="#_x0000_t202" style="position:absolute;left:0;text-align:left;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32BFFE61" w14:textId="77777777" w:rsidR="00590BDB" w:rsidRPr="003F2DF6" w:rsidRDefault="00590BDB" w:rsidP="00590BDB">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txbxContent>
                </v:textbox>
                <w10:wrap type="square"/>
              </v:shape>
            </w:pict>
          </mc:Fallback>
        </mc:AlternateContent>
      </w:r>
    </w:p>
    <w:p w14:paraId="487E489B" w14:textId="77777777" w:rsidR="00590BDB" w:rsidRPr="00F0535F" w:rsidRDefault="00590BDB" w:rsidP="00590BDB">
      <w:pPr>
        <w:ind w:right="-360"/>
        <w:rPr>
          <w:rFonts w:cstheme="minorHAnsi"/>
          <w:b/>
        </w:rPr>
      </w:pPr>
    </w:p>
    <w:p w14:paraId="2FB42B71" w14:textId="79B8B4CB" w:rsidR="00590BDB" w:rsidRPr="00F0535F" w:rsidRDefault="00590BDB" w:rsidP="00590BDB">
      <w:pPr>
        <w:rPr>
          <w:color w:val="005794"/>
          <w:sz w:val="52"/>
          <w:szCs w:val="52"/>
        </w:rPr>
      </w:pPr>
      <w:r w:rsidRPr="00F0535F">
        <w:rPr>
          <w:noProof/>
          <w:color w:val="005794"/>
          <w:sz w:val="52"/>
          <w:szCs w:val="52"/>
          <w:lang w:eastAsia="en-GB"/>
        </w:rPr>
        <mc:AlternateContent>
          <mc:Choice Requires="wps">
            <w:drawing>
              <wp:anchor distT="0" distB="0" distL="114300" distR="114300" simplePos="0" relativeHeight="251661312" behindDoc="0" locked="0" layoutInCell="1" allowOverlap="1" wp14:anchorId="1397DC98" wp14:editId="5E517C3B">
                <wp:simplePos x="0" y="0"/>
                <wp:positionH relativeFrom="column">
                  <wp:posOffset>2072640</wp:posOffset>
                </wp:positionH>
                <wp:positionV relativeFrom="paragraph">
                  <wp:posOffset>8890</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9113C2"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7pt" to="465.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" strokecolor="#eb6854" strokeweight=".5pt">
                <v:stroke joinstyle="miter"/>
              </v:line>
            </w:pict>
          </mc:Fallback>
        </mc:AlternateContent>
      </w:r>
    </w:p>
    <w:p w14:paraId="2DF34C51" w14:textId="13E5F558" w:rsidR="00590BDB" w:rsidRPr="00F0535F" w:rsidRDefault="00590BDB" w:rsidP="00590BDB">
      <w:pPr>
        <w:ind w:right="-360"/>
        <w:rPr>
          <w:rFonts w:cstheme="minorHAnsi"/>
          <w:b/>
        </w:rPr>
      </w:pPr>
      <w:r w:rsidRPr="00F0535F">
        <w:rPr>
          <w:rFonts w:cstheme="minorHAnsi"/>
          <w:b/>
        </w:rPr>
        <w:t xml:space="preserve">Issue Date: </w:t>
      </w:r>
      <w:r w:rsidR="00F41DD5">
        <w:rPr>
          <w:rFonts w:cstheme="minorHAnsi"/>
          <w:b/>
        </w:rPr>
        <w:t>10</w:t>
      </w:r>
      <w:r w:rsidR="00F41DD5" w:rsidRPr="00F41DD5">
        <w:rPr>
          <w:rFonts w:cstheme="minorHAnsi"/>
          <w:b/>
          <w:vertAlign w:val="superscript"/>
        </w:rPr>
        <w:t>th</w:t>
      </w:r>
      <w:r w:rsidR="00F41DD5">
        <w:rPr>
          <w:rFonts w:cstheme="minorHAnsi"/>
          <w:b/>
        </w:rPr>
        <w:t xml:space="preserve"> October</w:t>
      </w:r>
      <w:r>
        <w:rPr>
          <w:rFonts w:cstheme="minorHAnsi"/>
          <w:b/>
        </w:rPr>
        <w:t xml:space="preserve"> </w:t>
      </w:r>
      <w:r w:rsidRPr="00F0535F">
        <w:rPr>
          <w:rFonts w:cstheme="minorHAnsi"/>
          <w:b/>
        </w:rPr>
        <w:t>2023</w:t>
      </w:r>
    </w:p>
    <w:p w14:paraId="0F883B21" w14:textId="7658EA6E" w:rsidR="00590BDB" w:rsidRDefault="00590BDB" w:rsidP="00590BDB">
      <w:pPr>
        <w:ind w:right="-360"/>
        <w:rPr>
          <w:rFonts w:cstheme="minorHAnsi"/>
          <w:u w:val="single"/>
        </w:rPr>
      </w:pPr>
      <w:r w:rsidRPr="00F0535F">
        <w:rPr>
          <w:rFonts w:cstheme="minorHAnsi"/>
          <w:u w:val="single"/>
        </w:rPr>
        <w:t>For Immediate Release</w:t>
      </w:r>
    </w:p>
    <w:p w14:paraId="7CC3BADF" w14:textId="77777777" w:rsidR="000121F5" w:rsidRPr="009A5C7A" w:rsidRDefault="000121F5" w:rsidP="000121F5">
      <w:pPr>
        <w:spacing w:after="0"/>
        <w:jc w:val="center"/>
        <w:rPr>
          <w:b/>
          <w:bCs/>
          <w:color w:val="2E74B5" w:themeColor="accent5" w:themeShade="BF"/>
          <w:sz w:val="28"/>
          <w:szCs w:val="28"/>
        </w:rPr>
      </w:pPr>
      <w:r w:rsidRPr="009A5C7A">
        <w:rPr>
          <w:b/>
          <w:bCs/>
          <w:color w:val="2E74B5" w:themeColor="accent5" w:themeShade="BF"/>
          <w:sz w:val="28"/>
          <w:szCs w:val="28"/>
        </w:rPr>
        <w:t>Berry Launches Recycled Content Large Containers with Additional UN Approvals</w:t>
      </w:r>
    </w:p>
    <w:p w14:paraId="7BE4FB56" w14:textId="77777777" w:rsidR="000121F5" w:rsidRPr="00920737" w:rsidRDefault="000121F5" w:rsidP="000121F5">
      <w:pPr>
        <w:spacing w:after="0"/>
        <w:rPr>
          <w:sz w:val="24"/>
          <w:szCs w:val="24"/>
        </w:rPr>
      </w:pPr>
    </w:p>
    <w:p w14:paraId="1A8B1C0A" w14:textId="77777777" w:rsidR="000121F5" w:rsidRPr="00920737" w:rsidRDefault="000121F5" w:rsidP="00E877E0">
      <w:pPr>
        <w:spacing w:after="0"/>
        <w:jc w:val="both"/>
        <w:rPr>
          <w:sz w:val="24"/>
          <w:szCs w:val="24"/>
        </w:rPr>
      </w:pPr>
      <w:r w:rsidRPr="00920737">
        <w:rPr>
          <w:sz w:val="24"/>
          <w:szCs w:val="24"/>
        </w:rPr>
        <w:t xml:space="preserve">Berry </w:t>
      </w:r>
      <w:proofErr w:type="spellStart"/>
      <w:r w:rsidRPr="00920737">
        <w:rPr>
          <w:sz w:val="24"/>
          <w:szCs w:val="24"/>
        </w:rPr>
        <w:t>Global’s</w:t>
      </w:r>
      <w:proofErr w:type="spellEnd"/>
      <w:r w:rsidRPr="00920737">
        <w:rPr>
          <w:sz w:val="24"/>
          <w:szCs w:val="24"/>
        </w:rPr>
        <w:t xml:space="preserve"> technical and manufacturing skills have achieved a significant breakthrough in the packaging of hazardous liquids. The company has now launched the first 20 and </w:t>
      </w:r>
      <w:hyperlink r:id="rId11" w:tooltip="Learn more about the 20 litre Optimum Plastic Container" w:history="1">
        <w:r w:rsidRPr="00270423">
          <w:rPr>
            <w:rStyle w:val="Hyperlink"/>
            <w:sz w:val="24"/>
            <w:szCs w:val="24"/>
          </w:rPr>
          <w:t>25 litre containers</w:t>
        </w:r>
      </w:hyperlink>
      <w:r w:rsidRPr="00920737">
        <w:rPr>
          <w:sz w:val="24"/>
          <w:szCs w:val="24"/>
        </w:rPr>
        <w:t xml:space="preserve"> containing 35% recycled material</w:t>
      </w:r>
      <w:r>
        <w:rPr>
          <w:sz w:val="24"/>
          <w:szCs w:val="24"/>
        </w:rPr>
        <w:t>,</w:t>
      </w:r>
      <w:r w:rsidRPr="00920737">
        <w:rPr>
          <w:sz w:val="24"/>
          <w:szCs w:val="24"/>
        </w:rPr>
        <w:t xml:space="preserve"> which have UN Approval for the transport of hazardous goods for five of the six model liquids in the UN assessment.</w:t>
      </w:r>
    </w:p>
    <w:p w14:paraId="65BF609B" w14:textId="77777777" w:rsidR="000121F5" w:rsidRPr="00920737" w:rsidRDefault="000121F5" w:rsidP="00E877E0">
      <w:pPr>
        <w:spacing w:after="0"/>
        <w:jc w:val="both"/>
        <w:rPr>
          <w:sz w:val="24"/>
          <w:szCs w:val="24"/>
        </w:rPr>
      </w:pPr>
    </w:p>
    <w:p w14:paraId="79EA0441" w14:textId="77777777" w:rsidR="000121F5" w:rsidRPr="00920737" w:rsidRDefault="000121F5" w:rsidP="00E877E0">
      <w:pPr>
        <w:spacing w:after="0"/>
        <w:jc w:val="both"/>
        <w:rPr>
          <w:sz w:val="24"/>
          <w:szCs w:val="24"/>
        </w:rPr>
      </w:pPr>
      <w:r w:rsidRPr="00920737">
        <w:rPr>
          <w:sz w:val="24"/>
          <w:szCs w:val="24"/>
        </w:rPr>
        <w:t>In addition to the existing UN approval for water, the new containers also have approval for</w:t>
      </w:r>
      <w:r>
        <w:rPr>
          <w:sz w:val="24"/>
          <w:szCs w:val="24"/>
        </w:rPr>
        <w:t xml:space="preserve"> </w:t>
      </w:r>
      <w:r w:rsidRPr="00920737">
        <w:rPr>
          <w:sz w:val="24"/>
          <w:szCs w:val="24"/>
        </w:rPr>
        <w:t>wetting solution, acetic acid, white spirit</w:t>
      </w:r>
      <w:r>
        <w:rPr>
          <w:sz w:val="24"/>
          <w:szCs w:val="24"/>
        </w:rPr>
        <w:t xml:space="preserve">, </w:t>
      </w:r>
      <w:r w:rsidRPr="00920737">
        <w:rPr>
          <w:sz w:val="24"/>
          <w:szCs w:val="24"/>
        </w:rPr>
        <w:t>and N-butyl acetate.</w:t>
      </w:r>
    </w:p>
    <w:p w14:paraId="21B22BAC" w14:textId="77777777" w:rsidR="000121F5" w:rsidRPr="00920737" w:rsidRDefault="000121F5" w:rsidP="00E877E0">
      <w:pPr>
        <w:spacing w:after="0"/>
        <w:jc w:val="both"/>
        <w:rPr>
          <w:sz w:val="24"/>
          <w:szCs w:val="24"/>
        </w:rPr>
      </w:pPr>
    </w:p>
    <w:p w14:paraId="4B423B47" w14:textId="77777777" w:rsidR="000121F5" w:rsidRPr="00920737" w:rsidRDefault="000121F5" w:rsidP="00E877E0">
      <w:pPr>
        <w:spacing w:after="0"/>
        <w:jc w:val="both"/>
        <w:rPr>
          <w:sz w:val="24"/>
          <w:szCs w:val="24"/>
        </w:rPr>
      </w:pPr>
      <w:r w:rsidRPr="00920737">
        <w:rPr>
          <w:sz w:val="24"/>
          <w:szCs w:val="24"/>
        </w:rPr>
        <w:t xml:space="preserve">The introduction of these </w:t>
      </w:r>
      <w:r>
        <w:rPr>
          <w:sz w:val="24"/>
          <w:szCs w:val="24"/>
        </w:rPr>
        <w:t xml:space="preserve">new containers </w:t>
      </w:r>
      <w:r w:rsidRPr="00920737">
        <w:rPr>
          <w:sz w:val="24"/>
          <w:szCs w:val="24"/>
        </w:rPr>
        <w:t xml:space="preserve">into the company’s popular Optimum range will support companies both in meeting their sustainability goals and satisfying </w:t>
      </w:r>
      <w:r>
        <w:rPr>
          <w:sz w:val="24"/>
          <w:szCs w:val="24"/>
        </w:rPr>
        <w:t xml:space="preserve">consumer </w:t>
      </w:r>
      <w:r w:rsidRPr="00920737">
        <w:rPr>
          <w:sz w:val="24"/>
          <w:szCs w:val="24"/>
        </w:rPr>
        <w:t>demands for more sustainable packaging solutions. It will also help businesses comply with forthcoming legislation covering the required minimum amount of recycled material in a pack.</w:t>
      </w:r>
    </w:p>
    <w:p w14:paraId="46E8EBCF" w14:textId="77777777" w:rsidR="000121F5" w:rsidRPr="00920737" w:rsidRDefault="000121F5" w:rsidP="00E877E0">
      <w:pPr>
        <w:spacing w:after="0"/>
        <w:jc w:val="both"/>
        <w:rPr>
          <w:sz w:val="24"/>
          <w:szCs w:val="24"/>
        </w:rPr>
      </w:pPr>
    </w:p>
    <w:p w14:paraId="70AB35F1" w14:textId="77777777" w:rsidR="000121F5" w:rsidRPr="00920737" w:rsidRDefault="000121F5" w:rsidP="00E877E0">
      <w:pPr>
        <w:spacing w:after="0"/>
        <w:jc w:val="both"/>
        <w:rPr>
          <w:sz w:val="24"/>
          <w:szCs w:val="24"/>
        </w:rPr>
      </w:pPr>
      <w:r w:rsidRPr="00920737">
        <w:rPr>
          <w:sz w:val="24"/>
          <w:szCs w:val="24"/>
        </w:rPr>
        <w:t xml:space="preserve">The inclusion of 35% </w:t>
      </w:r>
      <w:hyperlink r:id="rId12" w:tooltip="Learn more about our Circular Solutions with Recycled Plastic" w:history="1">
        <w:r w:rsidRPr="00367D2A">
          <w:rPr>
            <w:rStyle w:val="Hyperlink"/>
            <w:sz w:val="24"/>
            <w:szCs w:val="24"/>
          </w:rPr>
          <w:t>recycled HDPE</w:t>
        </w:r>
      </w:hyperlink>
      <w:r w:rsidRPr="00920737">
        <w:rPr>
          <w:sz w:val="24"/>
          <w:szCs w:val="24"/>
        </w:rPr>
        <w:t xml:space="preserve"> (</w:t>
      </w:r>
      <w:proofErr w:type="spellStart"/>
      <w:r w:rsidRPr="00920737">
        <w:rPr>
          <w:sz w:val="24"/>
          <w:szCs w:val="24"/>
        </w:rPr>
        <w:t>rHDPE</w:t>
      </w:r>
      <w:proofErr w:type="spellEnd"/>
      <w:r w:rsidRPr="00920737">
        <w:rPr>
          <w:sz w:val="24"/>
          <w:szCs w:val="24"/>
        </w:rPr>
        <w:t xml:space="preserve">) into the Optimum containers provided a technical challenge in order to achieve UN accreditation. Typical processing of the material can sometimes produce varying results due to its composition, but UN approval requires processing to be stable and repeatable to </w:t>
      </w:r>
      <w:r>
        <w:rPr>
          <w:sz w:val="24"/>
          <w:szCs w:val="24"/>
        </w:rPr>
        <w:t>ensure</w:t>
      </w:r>
      <w:r w:rsidRPr="00920737">
        <w:rPr>
          <w:sz w:val="24"/>
          <w:szCs w:val="24"/>
        </w:rPr>
        <w:t xml:space="preserve"> the quality and consistent performance of the finished container.</w:t>
      </w:r>
    </w:p>
    <w:p w14:paraId="73416545" w14:textId="77777777" w:rsidR="000121F5" w:rsidRPr="00920737" w:rsidRDefault="000121F5" w:rsidP="00E877E0">
      <w:pPr>
        <w:spacing w:after="0"/>
        <w:jc w:val="both"/>
        <w:rPr>
          <w:sz w:val="24"/>
          <w:szCs w:val="24"/>
        </w:rPr>
      </w:pPr>
    </w:p>
    <w:p w14:paraId="2ED6F8AF" w14:textId="77777777" w:rsidR="000121F5" w:rsidRPr="00920737" w:rsidRDefault="000121F5" w:rsidP="00E877E0">
      <w:pPr>
        <w:spacing w:after="0"/>
        <w:jc w:val="both"/>
        <w:rPr>
          <w:sz w:val="24"/>
          <w:szCs w:val="24"/>
        </w:rPr>
      </w:pPr>
      <w:r w:rsidRPr="00920737">
        <w:rPr>
          <w:sz w:val="24"/>
          <w:szCs w:val="24"/>
        </w:rPr>
        <w:t xml:space="preserve">To ensure this, Berry is taking its </w:t>
      </w:r>
      <w:proofErr w:type="spellStart"/>
      <w:r w:rsidRPr="00920737">
        <w:rPr>
          <w:sz w:val="24"/>
          <w:szCs w:val="24"/>
        </w:rPr>
        <w:t>rHDPE</w:t>
      </w:r>
      <w:proofErr w:type="spellEnd"/>
      <w:r w:rsidRPr="00920737">
        <w:rPr>
          <w:sz w:val="24"/>
          <w:szCs w:val="24"/>
        </w:rPr>
        <w:t xml:space="preserve"> from controlled sources, focusing on post-industrial packaging such as IBCs, drums</w:t>
      </w:r>
      <w:r>
        <w:rPr>
          <w:sz w:val="24"/>
          <w:szCs w:val="24"/>
        </w:rPr>
        <w:t>,</w:t>
      </w:r>
      <w:r w:rsidRPr="00920737">
        <w:rPr>
          <w:sz w:val="24"/>
          <w:szCs w:val="24"/>
        </w:rPr>
        <w:t xml:space="preserve"> and HDPE canisters. This minimises any variations in the material. In addition, the containers retain their low weight, both reducing the amount of material required in production and maximising ease of handling for the end-user.</w:t>
      </w:r>
    </w:p>
    <w:p w14:paraId="080F2BB7" w14:textId="77777777" w:rsidR="000121F5" w:rsidRPr="00920737" w:rsidRDefault="000121F5" w:rsidP="00E877E0">
      <w:pPr>
        <w:spacing w:after="0"/>
        <w:jc w:val="both"/>
        <w:rPr>
          <w:sz w:val="24"/>
          <w:szCs w:val="24"/>
        </w:rPr>
      </w:pPr>
    </w:p>
    <w:p w14:paraId="490CD2AA" w14:textId="77777777" w:rsidR="000121F5" w:rsidRPr="00920737" w:rsidRDefault="000121F5" w:rsidP="00E877E0">
      <w:pPr>
        <w:spacing w:after="0"/>
        <w:jc w:val="both"/>
        <w:rPr>
          <w:sz w:val="24"/>
          <w:szCs w:val="24"/>
        </w:rPr>
      </w:pPr>
      <w:r w:rsidRPr="00920737">
        <w:rPr>
          <w:sz w:val="24"/>
          <w:szCs w:val="24"/>
        </w:rPr>
        <w:t xml:space="preserve">“We believe these new containers offer </w:t>
      </w:r>
      <w:r>
        <w:rPr>
          <w:sz w:val="24"/>
          <w:szCs w:val="24"/>
        </w:rPr>
        <w:t xml:space="preserve">one of </w:t>
      </w:r>
      <w:r w:rsidRPr="00920737">
        <w:rPr>
          <w:sz w:val="24"/>
          <w:szCs w:val="24"/>
        </w:rPr>
        <w:t>the highest content</w:t>
      </w:r>
      <w:r>
        <w:rPr>
          <w:sz w:val="24"/>
          <w:szCs w:val="24"/>
        </w:rPr>
        <w:t>s</w:t>
      </w:r>
      <w:r w:rsidRPr="00920737">
        <w:rPr>
          <w:sz w:val="24"/>
          <w:szCs w:val="24"/>
        </w:rPr>
        <w:t xml:space="preserve"> of recycled material with UN approval currently available on the market,” commented Rudolph Pfeiffer, General Manager</w:t>
      </w:r>
      <w:r>
        <w:rPr>
          <w:sz w:val="24"/>
          <w:szCs w:val="24"/>
        </w:rPr>
        <w:t xml:space="preserve"> for </w:t>
      </w:r>
      <w:r w:rsidRPr="00920737">
        <w:rPr>
          <w:sz w:val="24"/>
          <w:szCs w:val="24"/>
        </w:rPr>
        <w:t>Berry Global BMS.</w:t>
      </w:r>
      <w:r>
        <w:rPr>
          <w:sz w:val="24"/>
          <w:szCs w:val="24"/>
        </w:rPr>
        <w:t xml:space="preserve"> </w:t>
      </w:r>
      <w:r w:rsidRPr="00920737">
        <w:rPr>
          <w:sz w:val="24"/>
          <w:szCs w:val="24"/>
        </w:rPr>
        <w:t>“We are very pleased to be able to provide our customers with a solution to the packaging of challenging products that supports their sustainability commitments without compromising on quality or performance.”</w:t>
      </w:r>
    </w:p>
    <w:p w14:paraId="0BFA8CAB" w14:textId="77777777" w:rsidR="000121F5" w:rsidRPr="00920737" w:rsidRDefault="000121F5" w:rsidP="00E877E0">
      <w:pPr>
        <w:spacing w:after="0"/>
        <w:jc w:val="both"/>
        <w:rPr>
          <w:sz w:val="24"/>
          <w:szCs w:val="24"/>
        </w:rPr>
      </w:pPr>
    </w:p>
    <w:p w14:paraId="25F3257C" w14:textId="77777777" w:rsidR="000121F5" w:rsidRPr="00920737" w:rsidRDefault="000121F5" w:rsidP="00E877E0">
      <w:pPr>
        <w:spacing w:after="0"/>
        <w:jc w:val="both"/>
        <w:rPr>
          <w:sz w:val="24"/>
          <w:szCs w:val="24"/>
        </w:rPr>
      </w:pPr>
      <w:r w:rsidRPr="00920737">
        <w:rPr>
          <w:sz w:val="24"/>
          <w:szCs w:val="24"/>
        </w:rPr>
        <w:lastRenderedPageBreak/>
        <w:t xml:space="preserve">The new Optimum containers are available with standard </w:t>
      </w:r>
      <w:hyperlink r:id="rId13" w:tooltip="Learn more about 61mm Industop Screw Closure Tamper Evident " w:history="1">
        <w:r w:rsidRPr="00367D2A">
          <w:rPr>
            <w:rStyle w:val="Hyperlink"/>
            <w:sz w:val="24"/>
            <w:szCs w:val="24"/>
          </w:rPr>
          <w:t>DIN61</w:t>
        </w:r>
      </w:hyperlink>
      <w:r w:rsidRPr="00920737">
        <w:rPr>
          <w:sz w:val="24"/>
          <w:szCs w:val="24"/>
        </w:rPr>
        <w:t xml:space="preserve"> and </w:t>
      </w:r>
      <w:hyperlink r:id="rId14" w:tooltip="Learn more about the Industop 63mm Tamper Evident cap" w:history="1">
        <w:r w:rsidRPr="00367D2A">
          <w:rPr>
            <w:rStyle w:val="Hyperlink"/>
            <w:sz w:val="24"/>
            <w:szCs w:val="24"/>
          </w:rPr>
          <w:t>ASTM63</w:t>
        </w:r>
      </w:hyperlink>
      <w:r w:rsidRPr="00920737">
        <w:rPr>
          <w:sz w:val="24"/>
          <w:szCs w:val="24"/>
        </w:rPr>
        <w:t xml:space="preserve"> neck finishes, suitable for a range of standard and vented closures, and can also be specified in a range of colours. The containers’ design with interlocking top and base allows safe and easy stacking.</w:t>
      </w:r>
    </w:p>
    <w:p w14:paraId="7BF1C3B6" w14:textId="77777777" w:rsidR="000121F5" w:rsidRPr="00920737" w:rsidRDefault="000121F5" w:rsidP="00E877E0">
      <w:pPr>
        <w:spacing w:after="0"/>
        <w:jc w:val="both"/>
        <w:rPr>
          <w:sz w:val="24"/>
          <w:szCs w:val="24"/>
        </w:rPr>
      </w:pPr>
    </w:p>
    <w:p w14:paraId="04EE09C4" w14:textId="77777777" w:rsidR="000121F5" w:rsidRPr="00920737" w:rsidRDefault="000121F5" w:rsidP="00E877E0">
      <w:pPr>
        <w:spacing w:after="0"/>
        <w:jc w:val="both"/>
        <w:rPr>
          <w:rFonts w:cstheme="minorHAnsi"/>
          <w:sz w:val="24"/>
          <w:szCs w:val="24"/>
        </w:rPr>
      </w:pPr>
      <w:r w:rsidRPr="00920737">
        <w:rPr>
          <w:sz w:val="24"/>
          <w:szCs w:val="24"/>
        </w:rPr>
        <w:t xml:space="preserve">Typical applications </w:t>
      </w:r>
      <w:r w:rsidRPr="00920737">
        <w:rPr>
          <w:rFonts w:cstheme="minorHAnsi"/>
          <w:sz w:val="24"/>
          <w:szCs w:val="24"/>
        </w:rPr>
        <w:t>include chemicals, hazardous goods, agriculture and horticulture, automotive care and pool care. Berry says additional container sizes are now in development.</w:t>
      </w:r>
    </w:p>
    <w:p w14:paraId="3AF9665E" w14:textId="77777777" w:rsidR="000121F5" w:rsidRPr="00920737" w:rsidRDefault="000121F5" w:rsidP="00E877E0">
      <w:pPr>
        <w:spacing w:after="0"/>
        <w:jc w:val="both"/>
        <w:rPr>
          <w:rFonts w:cstheme="minorHAnsi"/>
          <w:sz w:val="24"/>
          <w:szCs w:val="24"/>
        </w:rPr>
      </w:pPr>
    </w:p>
    <w:p w14:paraId="0CD8E68A" w14:textId="77777777" w:rsidR="000121F5" w:rsidRPr="00920737" w:rsidRDefault="000121F5" w:rsidP="00E877E0">
      <w:pPr>
        <w:spacing w:after="0"/>
        <w:jc w:val="both"/>
        <w:rPr>
          <w:rFonts w:cstheme="minorHAnsi"/>
          <w:sz w:val="24"/>
          <w:szCs w:val="24"/>
        </w:rPr>
      </w:pPr>
      <w:r>
        <w:rPr>
          <w:rFonts w:cstheme="minorHAnsi"/>
          <w:sz w:val="24"/>
          <w:szCs w:val="24"/>
        </w:rPr>
        <w:t>Learn</w:t>
      </w:r>
      <w:r w:rsidRPr="00920737">
        <w:rPr>
          <w:rFonts w:cstheme="minorHAnsi"/>
          <w:sz w:val="24"/>
          <w:szCs w:val="24"/>
        </w:rPr>
        <w:t xml:space="preserve"> more information </w:t>
      </w:r>
      <w:r>
        <w:rPr>
          <w:rFonts w:cstheme="minorHAnsi"/>
          <w:sz w:val="24"/>
          <w:szCs w:val="24"/>
        </w:rPr>
        <w:t>about</w:t>
      </w:r>
      <w:r w:rsidRPr="00920737">
        <w:rPr>
          <w:rFonts w:cstheme="minorHAnsi"/>
          <w:sz w:val="24"/>
          <w:szCs w:val="24"/>
        </w:rPr>
        <w:t xml:space="preserve"> Berry’s comprehensive range of </w:t>
      </w:r>
      <w:hyperlink r:id="rId15" w:tooltip="Learn more about our range of canisters &amp; jerrycans" w:history="1">
        <w:r w:rsidRPr="006455BE">
          <w:rPr>
            <w:rStyle w:val="Hyperlink"/>
            <w:rFonts w:cstheme="minorHAnsi"/>
            <w:sz w:val="24"/>
            <w:szCs w:val="24"/>
          </w:rPr>
          <w:t>containers for industrial</w:t>
        </w:r>
      </w:hyperlink>
      <w:r w:rsidRPr="00920737">
        <w:rPr>
          <w:rFonts w:cstheme="minorHAnsi"/>
          <w:sz w:val="24"/>
          <w:szCs w:val="24"/>
        </w:rPr>
        <w:t xml:space="preserve"> and retail markets</w:t>
      </w:r>
      <w:r>
        <w:rPr>
          <w:rFonts w:cstheme="minorHAnsi"/>
          <w:sz w:val="24"/>
          <w:szCs w:val="24"/>
        </w:rPr>
        <w:t>.</w:t>
      </w:r>
    </w:p>
    <w:p w14:paraId="155CB81C" w14:textId="604C5CD7" w:rsidR="00CE6ADE" w:rsidRDefault="00CE6ADE" w:rsidP="00590BDB">
      <w:pPr>
        <w:ind w:right="-360"/>
        <w:rPr>
          <w:rFonts w:cstheme="minorHAnsi"/>
          <w:u w:val="single"/>
        </w:rPr>
      </w:pPr>
    </w:p>
    <w:bookmarkEnd w:id="0"/>
    <w:p w14:paraId="0BB22BA1" w14:textId="4D0167AF" w:rsidR="00A50E05" w:rsidRPr="00E877E0" w:rsidRDefault="00A50E05" w:rsidP="00A50E05">
      <w:pPr>
        <w:spacing w:after="0" w:line="240" w:lineRule="auto"/>
        <w:rPr>
          <w:b/>
          <w:bCs/>
          <w:sz w:val="24"/>
          <w:szCs w:val="24"/>
        </w:rPr>
      </w:pPr>
      <w:r w:rsidRPr="00E877E0">
        <w:rPr>
          <w:b/>
          <w:bCs/>
          <w:sz w:val="24"/>
          <w:szCs w:val="24"/>
        </w:rPr>
        <w:t xml:space="preserve">Ends </w:t>
      </w:r>
    </w:p>
    <w:p w14:paraId="50B4A2FC" w14:textId="77777777" w:rsidR="00CE6ADE" w:rsidRPr="002B07A7" w:rsidRDefault="00CE6ADE" w:rsidP="00A50E05">
      <w:pPr>
        <w:spacing w:after="0" w:line="240" w:lineRule="auto"/>
        <w:rPr>
          <w:sz w:val="24"/>
          <w:szCs w:val="24"/>
        </w:rPr>
      </w:pPr>
    </w:p>
    <w:p w14:paraId="4D408219" w14:textId="77777777" w:rsidR="00A50E05" w:rsidRPr="002B07A7" w:rsidRDefault="00A50E05" w:rsidP="00A50E05">
      <w:pPr>
        <w:spacing w:after="0" w:line="240" w:lineRule="auto"/>
        <w:rPr>
          <w:sz w:val="24"/>
          <w:szCs w:val="24"/>
        </w:rPr>
      </w:pPr>
    </w:p>
    <w:p w14:paraId="3308FC60" w14:textId="77777777" w:rsidR="00590BDB" w:rsidRPr="00F0535F" w:rsidRDefault="00590BDB" w:rsidP="00590BDB">
      <w:pPr>
        <w:rPr>
          <w:rFonts w:cstheme="minorHAnsi"/>
        </w:rPr>
      </w:pPr>
      <w:r w:rsidRPr="00F0535F">
        <w:rPr>
          <w:rFonts w:cstheme="minorHAnsi"/>
          <w:b/>
          <w:bCs/>
        </w:rPr>
        <w:t>About Berry</w:t>
      </w:r>
      <w:bookmarkStart w:id="1" w:name="_Hlk119068687"/>
    </w:p>
    <w:p w14:paraId="7AC6B9F3" w14:textId="77777777" w:rsidR="00590BDB" w:rsidRPr="00F0535F" w:rsidRDefault="00590BDB" w:rsidP="00590BDB">
      <w:pPr>
        <w:rPr>
          <w:rFonts w:ascii="Calibri" w:hAnsi="Calibri" w:cs="Calibri"/>
          <w:lang w:val="en-US" w:eastAsia="en-GB"/>
        </w:rPr>
      </w:pPr>
      <w:r w:rsidRPr="00F0535F">
        <w:rPr>
          <w:rFonts w:ascii="Calibri" w:hAnsi="Calibri" w:cs="Calibri"/>
          <w:lang w:val="en-US" w:eastAsia="en-GB"/>
        </w:rPr>
        <w:t xml:space="preserve">At Berry Global Group, Inc. (NYSE: BERY), we create innovative packaging and engineered products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46,000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 </w:t>
      </w:r>
      <w:hyperlink r:id="rId16" w:history="1">
        <w:r w:rsidRPr="00F0535F">
          <w:rPr>
            <w:rFonts w:ascii="Calibri" w:hAnsi="Calibri" w:cs="Calibri"/>
            <w:color w:val="0563C1"/>
            <w:u w:val="single"/>
            <w:lang w:val="en-US" w:eastAsia="en-GB"/>
          </w:rPr>
          <w:t>website</w:t>
        </w:r>
      </w:hyperlink>
      <w:r w:rsidRPr="00F0535F">
        <w:rPr>
          <w:rFonts w:ascii="Calibri" w:hAnsi="Calibri" w:cs="Calibri"/>
          <w:lang w:val="en-US" w:eastAsia="en-GB"/>
        </w:rPr>
        <w:t xml:space="preserve">, or connect with us on </w:t>
      </w:r>
      <w:hyperlink r:id="rId17" w:history="1">
        <w:r w:rsidRPr="00F0535F">
          <w:rPr>
            <w:rFonts w:ascii="Calibri" w:hAnsi="Calibri" w:cs="Calibri"/>
            <w:color w:val="0563C1"/>
            <w:u w:val="single"/>
            <w:lang w:val="en-US" w:eastAsia="en-GB"/>
          </w:rPr>
          <w:t>LinkedIn</w:t>
        </w:r>
      </w:hyperlink>
      <w:r w:rsidRPr="00F0535F">
        <w:rPr>
          <w:rFonts w:ascii="Calibri" w:hAnsi="Calibri" w:cs="Calibri"/>
          <w:lang w:val="en-US" w:eastAsia="en-GB"/>
        </w:rPr>
        <w:t xml:space="preserve"> or </w:t>
      </w:r>
      <w:hyperlink r:id="rId18" w:history="1">
        <w:r w:rsidRPr="00F0535F">
          <w:rPr>
            <w:rFonts w:ascii="Calibri" w:hAnsi="Calibri" w:cs="Calibri"/>
            <w:color w:val="0563C1"/>
            <w:u w:val="single"/>
            <w:lang w:val="en-US" w:eastAsia="en-GB"/>
          </w:rPr>
          <w:t>Twitter</w:t>
        </w:r>
      </w:hyperlink>
      <w:r w:rsidRPr="00F0535F">
        <w:rPr>
          <w:rFonts w:ascii="Calibri" w:hAnsi="Calibri" w:cs="Calibri"/>
          <w:lang w:val="en-US" w:eastAsia="en-GB"/>
        </w:rPr>
        <w:t>.</w:t>
      </w:r>
    </w:p>
    <w:p w14:paraId="34D89FA1" w14:textId="77777777" w:rsidR="00590BDB" w:rsidRPr="00F0535F" w:rsidRDefault="00590BDB" w:rsidP="00590BDB">
      <w:pPr>
        <w:ind w:right="-450"/>
        <w:rPr>
          <w:rFonts w:eastAsia="Century Gothic" w:cstheme="minorHAnsi"/>
          <w:b/>
        </w:rPr>
      </w:pPr>
    </w:p>
    <w:bookmarkEnd w:id="1"/>
    <w:p w14:paraId="7570C32B" w14:textId="77777777" w:rsidR="00590BDB" w:rsidRDefault="00590BDB" w:rsidP="00590BDB">
      <w:pPr>
        <w:jc w:val="both"/>
        <w:rPr>
          <w:rFonts w:ascii="Calibri" w:eastAsia="Calibri" w:hAnsi="Calibri" w:cs="Calibri"/>
        </w:rPr>
      </w:pPr>
      <w:r w:rsidRPr="00586296">
        <w:rPr>
          <w:rFonts w:ascii="Calibri" w:eastAsia="Calibri" w:hAnsi="Calibri" w:cs="Calibri"/>
          <w:b/>
        </w:rPr>
        <w:t>Media Contact:</w:t>
      </w:r>
      <w:r w:rsidRPr="00586296">
        <w:rPr>
          <w:rFonts w:ascii="Calibri" w:eastAsia="Calibri" w:hAnsi="Calibri" w:cs="Calibri"/>
        </w:rPr>
        <w:t xml:space="preserve">                       </w:t>
      </w:r>
      <w:r w:rsidRPr="00586296">
        <w:rPr>
          <w:rFonts w:ascii="Calibri" w:eastAsia="Calibri" w:hAnsi="Calibri" w:cs="Calibri"/>
        </w:rPr>
        <w:tab/>
      </w:r>
      <w:r w:rsidRPr="00586296">
        <w:rPr>
          <w:rFonts w:ascii="Calibri" w:eastAsia="Calibri" w:hAnsi="Calibri" w:cs="Calibri"/>
        </w:rPr>
        <w:tab/>
        <w:t xml:space="preserve">               </w:t>
      </w:r>
    </w:p>
    <w:p w14:paraId="01FC471B" w14:textId="77777777" w:rsidR="00590BDB" w:rsidRDefault="00590BDB" w:rsidP="00590BDB">
      <w:pPr>
        <w:jc w:val="both"/>
        <w:rPr>
          <w:rFonts w:ascii="Calibri" w:eastAsia="Calibri" w:hAnsi="Calibri" w:cs="Calibri"/>
        </w:rPr>
      </w:pPr>
      <w:r w:rsidRPr="00586296">
        <w:rPr>
          <w:rFonts w:ascii="Calibri" w:eastAsia="Calibri" w:hAnsi="Calibri" w:cs="Calibri"/>
        </w:rPr>
        <w:t>Nielsen McAllister Public Relations Limited</w:t>
      </w:r>
      <w:r w:rsidRPr="00586296">
        <w:rPr>
          <w:rFonts w:ascii="Calibri" w:eastAsia="Calibri" w:hAnsi="Calibri" w:cs="Calibri"/>
        </w:rPr>
        <w:tab/>
        <w:t xml:space="preserve">                                           </w:t>
      </w:r>
    </w:p>
    <w:p w14:paraId="46407B4C" w14:textId="77777777" w:rsidR="00590BDB" w:rsidRPr="00586296" w:rsidRDefault="00590BDB" w:rsidP="00590BDB">
      <w:pPr>
        <w:jc w:val="both"/>
        <w:rPr>
          <w:rFonts w:ascii="Calibri" w:eastAsia="Calibri" w:hAnsi="Calibri" w:cs="Calibri"/>
          <w:b/>
        </w:rPr>
      </w:pPr>
      <w:r w:rsidRPr="00586296">
        <w:rPr>
          <w:rFonts w:ascii="Calibri" w:eastAsia="Calibri" w:hAnsi="Calibri" w:cs="Calibri"/>
        </w:rPr>
        <w:t xml:space="preserve"> +44 (0) 1322 293939</w:t>
      </w:r>
    </w:p>
    <w:p w14:paraId="32C6FE0F" w14:textId="77777777" w:rsidR="00590BDB" w:rsidRDefault="00E877E0" w:rsidP="00590BDB">
      <w:pPr>
        <w:jc w:val="both"/>
        <w:rPr>
          <w:rFonts w:ascii="Calibri" w:eastAsia="Calibri" w:hAnsi="Calibri" w:cs="Calibri"/>
        </w:rPr>
      </w:pPr>
      <w:hyperlink r:id="rId19" w:history="1">
        <w:r w:rsidR="00590BDB" w:rsidRPr="00586296">
          <w:rPr>
            <w:rStyle w:val="Hyperlink"/>
            <w:rFonts w:ascii="Calibri" w:eastAsia="Calibri" w:hAnsi="Calibri" w:cs="Calibri"/>
          </w:rPr>
          <w:t>info@nmpr.co.uk</w:t>
        </w:r>
      </w:hyperlink>
      <w:r w:rsidR="00590BDB" w:rsidRPr="00586296">
        <w:rPr>
          <w:rFonts w:ascii="Calibri" w:eastAsia="Calibri" w:hAnsi="Calibri" w:cs="Calibri"/>
        </w:rPr>
        <w:t xml:space="preserve"> </w:t>
      </w:r>
      <w:r w:rsidR="00590BDB" w:rsidRPr="00586296">
        <w:rPr>
          <w:rFonts w:ascii="Calibri" w:eastAsia="Calibri" w:hAnsi="Calibri" w:cs="Calibri"/>
        </w:rPr>
        <w:tab/>
      </w:r>
      <w:r w:rsidR="00590BDB" w:rsidRPr="00586296">
        <w:rPr>
          <w:rFonts w:ascii="Calibri" w:eastAsia="Calibri" w:hAnsi="Calibri" w:cs="Calibri"/>
        </w:rPr>
        <w:tab/>
      </w:r>
    </w:p>
    <w:p w14:paraId="170D6210" w14:textId="77777777" w:rsidR="00590BDB" w:rsidRPr="00586296" w:rsidRDefault="00590BDB" w:rsidP="00590BDB">
      <w:pPr>
        <w:jc w:val="both"/>
        <w:rPr>
          <w:rFonts w:ascii="Calibri" w:eastAsia="Calibri" w:hAnsi="Calibri" w:cs="Calibri"/>
        </w:rPr>
      </w:pPr>
    </w:p>
    <w:p w14:paraId="66CA5D45" w14:textId="1EDD2F28" w:rsidR="00C97427" w:rsidRPr="00CE6ADE" w:rsidRDefault="00590BDB" w:rsidP="00CE6ADE">
      <w:pPr>
        <w:jc w:val="both"/>
        <w:rPr>
          <w:rFonts w:ascii="Calibri" w:eastAsia="Calibri" w:hAnsi="Calibri" w:cs="Calibri"/>
        </w:rPr>
      </w:pPr>
      <w:r w:rsidRPr="00586296">
        <w:rPr>
          <w:rFonts w:ascii="Calibri" w:eastAsia="Calibri" w:hAnsi="Calibri" w:cs="Calibri"/>
          <w:b/>
          <w:noProof/>
        </w:rPr>
        <w:drawing>
          <wp:inline distT="0" distB="0" distL="0" distR="0" wp14:anchorId="62CDDE4B" wp14:editId="0ED5D9B6">
            <wp:extent cx="396240" cy="396240"/>
            <wp:effectExtent l="0" t="0" r="3810" b="3810"/>
            <wp:docPr id="20" name="Picture 2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96422" cy="396422"/>
                    </a:xfrm>
                    <a:prstGeom prst="ellipse">
                      <a:avLst/>
                    </a:prstGeom>
                    <a:solidFill>
                      <a:srgbClr val="F26C52"/>
                    </a:solidFill>
                  </pic:spPr>
                </pic:pic>
              </a:graphicData>
            </a:graphic>
          </wp:inline>
        </w:drawing>
      </w:r>
      <w:r w:rsidRPr="00586296">
        <w:rPr>
          <w:rFonts w:ascii="Calibri" w:eastAsia="Calibri" w:hAnsi="Calibri" w:cs="Calibri"/>
          <w:b/>
        </w:rPr>
        <w:t xml:space="preserve">    </w:t>
      </w:r>
      <w:r w:rsidRPr="00586296">
        <w:rPr>
          <w:rFonts w:ascii="Calibri" w:eastAsia="Calibri" w:hAnsi="Calibri" w:cs="Calibri"/>
          <w:b/>
          <w:noProof/>
        </w:rPr>
        <w:drawing>
          <wp:inline distT="0" distB="0" distL="0" distR="0" wp14:anchorId="3D0DD543" wp14:editId="56BB4361">
            <wp:extent cx="403860" cy="403860"/>
            <wp:effectExtent l="0" t="0" r="0" b="0"/>
            <wp:docPr id="18" name="Picture 1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04046" cy="404046"/>
                    </a:xfrm>
                    <a:prstGeom prst="ellipse">
                      <a:avLst/>
                    </a:prstGeom>
                    <a:solidFill>
                      <a:srgbClr val="5AA3D2"/>
                    </a:solidFill>
                  </pic:spPr>
                </pic:pic>
              </a:graphicData>
            </a:graphic>
          </wp:inline>
        </w:drawing>
      </w:r>
      <w:r w:rsidRPr="00586296">
        <w:rPr>
          <w:rFonts w:ascii="Calibri" w:eastAsia="Calibri" w:hAnsi="Calibri" w:cs="Calibri"/>
        </w:rPr>
        <w:t xml:space="preserve">    </w:t>
      </w:r>
      <w:r w:rsidRPr="00586296">
        <w:rPr>
          <w:rFonts w:ascii="Calibri" w:eastAsia="Calibri" w:hAnsi="Calibri" w:cs="Calibri"/>
          <w:noProof/>
        </w:rPr>
        <w:drawing>
          <wp:inline distT="0" distB="0" distL="0" distR="0" wp14:anchorId="6914CA7C" wp14:editId="5DA8E69D">
            <wp:extent cx="396240" cy="396240"/>
            <wp:effectExtent l="0" t="0" r="3810" b="3810"/>
            <wp:docPr id="21" name="Picture 2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6423" cy="396423"/>
                    </a:xfrm>
                    <a:prstGeom prst="ellipse">
                      <a:avLst/>
                    </a:prstGeom>
                    <a:solidFill>
                      <a:srgbClr val="005794"/>
                    </a:solidFill>
                  </pic:spPr>
                </pic:pic>
              </a:graphicData>
            </a:graphic>
          </wp:inline>
        </w:drawing>
      </w:r>
    </w:p>
    <w:sectPr w:rsidR="00C97427" w:rsidRPr="00CE6A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D68D3" w14:textId="77777777" w:rsidR="00225BE7" w:rsidRDefault="00225BE7" w:rsidP="003620EB">
      <w:pPr>
        <w:spacing w:after="0" w:line="240" w:lineRule="auto"/>
      </w:pPr>
      <w:r>
        <w:separator/>
      </w:r>
    </w:p>
  </w:endnote>
  <w:endnote w:type="continuationSeparator" w:id="0">
    <w:p w14:paraId="2766570F" w14:textId="77777777" w:rsidR="00225BE7" w:rsidRDefault="00225BE7" w:rsidP="00362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16C0" w14:textId="77777777" w:rsidR="00225BE7" w:rsidRDefault="00225BE7" w:rsidP="003620EB">
      <w:pPr>
        <w:spacing w:after="0" w:line="240" w:lineRule="auto"/>
      </w:pPr>
      <w:r>
        <w:separator/>
      </w:r>
    </w:p>
  </w:footnote>
  <w:footnote w:type="continuationSeparator" w:id="0">
    <w:p w14:paraId="3A4EFC1A" w14:textId="77777777" w:rsidR="00225BE7" w:rsidRDefault="00225BE7" w:rsidP="00362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A"/>
    <w:rsid w:val="00002B9D"/>
    <w:rsid w:val="000121F5"/>
    <w:rsid w:val="000B7CC1"/>
    <w:rsid w:val="000E49AE"/>
    <w:rsid w:val="000E6AFC"/>
    <w:rsid w:val="00111370"/>
    <w:rsid w:val="00130FC4"/>
    <w:rsid w:val="00131ADE"/>
    <w:rsid w:val="001737E4"/>
    <w:rsid w:val="00190A6E"/>
    <w:rsid w:val="001A17B2"/>
    <w:rsid w:val="001A6DF6"/>
    <w:rsid w:val="001C2E1E"/>
    <w:rsid w:val="001C43BE"/>
    <w:rsid w:val="001D6E77"/>
    <w:rsid w:val="001E76F7"/>
    <w:rsid w:val="001F1252"/>
    <w:rsid w:val="00225BE7"/>
    <w:rsid w:val="00245DBB"/>
    <w:rsid w:val="00297F97"/>
    <w:rsid w:val="002B07A7"/>
    <w:rsid w:val="002B2B43"/>
    <w:rsid w:val="002C24CA"/>
    <w:rsid w:val="002E102E"/>
    <w:rsid w:val="002E5878"/>
    <w:rsid w:val="003149A1"/>
    <w:rsid w:val="003620EB"/>
    <w:rsid w:val="00377E0E"/>
    <w:rsid w:val="00393205"/>
    <w:rsid w:val="003C055B"/>
    <w:rsid w:val="00432C60"/>
    <w:rsid w:val="00434C5B"/>
    <w:rsid w:val="00452919"/>
    <w:rsid w:val="00466AFE"/>
    <w:rsid w:val="00491E74"/>
    <w:rsid w:val="004A27E1"/>
    <w:rsid w:val="004A350D"/>
    <w:rsid w:val="004D3C81"/>
    <w:rsid w:val="004D3E96"/>
    <w:rsid w:val="0050220D"/>
    <w:rsid w:val="00521E6C"/>
    <w:rsid w:val="00542C6B"/>
    <w:rsid w:val="00555252"/>
    <w:rsid w:val="00590BDB"/>
    <w:rsid w:val="005A286C"/>
    <w:rsid w:val="005C25F0"/>
    <w:rsid w:val="005C3BF4"/>
    <w:rsid w:val="005E743D"/>
    <w:rsid w:val="00681DA5"/>
    <w:rsid w:val="006A142A"/>
    <w:rsid w:val="006D2E88"/>
    <w:rsid w:val="006E2935"/>
    <w:rsid w:val="00726917"/>
    <w:rsid w:val="007549BB"/>
    <w:rsid w:val="007C0659"/>
    <w:rsid w:val="007C0E18"/>
    <w:rsid w:val="007C162B"/>
    <w:rsid w:val="007D588B"/>
    <w:rsid w:val="007F3B76"/>
    <w:rsid w:val="00812A02"/>
    <w:rsid w:val="008417EE"/>
    <w:rsid w:val="00850053"/>
    <w:rsid w:val="00882763"/>
    <w:rsid w:val="008A0498"/>
    <w:rsid w:val="008A326D"/>
    <w:rsid w:val="008E074C"/>
    <w:rsid w:val="008F14A6"/>
    <w:rsid w:val="00916233"/>
    <w:rsid w:val="00932B40"/>
    <w:rsid w:val="009659E6"/>
    <w:rsid w:val="009852D6"/>
    <w:rsid w:val="009A5C7A"/>
    <w:rsid w:val="009C6EA4"/>
    <w:rsid w:val="009D3CF1"/>
    <w:rsid w:val="009E0536"/>
    <w:rsid w:val="009F0C0A"/>
    <w:rsid w:val="00A06B90"/>
    <w:rsid w:val="00A40710"/>
    <w:rsid w:val="00A4108F"/>
    <w:rsid w:val="00A50E05"/>
    <w:rsid w:val="00B13819"/>
    <w:rsid w:val="00B82BED"/>
    <w:rsid w:val="00B956A9"/>
    <w:rsid w:val="00BC2C4D"/>
    <w:rsid w:val="00BD6AD9"/>
    <w:rsid w:val="00BF7938"/>
    <w:rsid w:val="00C459E9"/>
    <w:rsid w:val="00C55B01"/>
    <w:rsid w:val="00C7221C"/>
    <w:rsid w:val="00C731B6"/>
    <w:rsid w:val="00C90DF8"/>
    <w:rsid w:val="00C97427"/>
    <w:rsid w:val="00CE6ADE"/>
    <w:rsid w:val="00D1721C"/>
    <w:rsid w:val="00D173FB"/>
    <w:rsid w:val="00D27505"/>
    <w:rsid w:val="00D72D3C"/>
    <w:rsid w:val="00DC72DF"/>
    <w:rsid w:val="00E066A0"/>
    <w:rsid w:val="00E16266"/>
    <w:rsid w:val="00E209B4"/>
    <w:rsid w:val="00E25F83"/>
    <w:rsid w:val="00E314B9"/>
    <w:rsid w:val="00E41AD7"/>
    <w:rsid w:val="00E75C45"/>
    <w:rsid w:val="00E877E0"/>
    <w:rsid w:val="00EC4129"/>
    <w:rsid w:val="00ED5117"/>
    <w:rsid w:val="00F00DD0"/>
    <w:rsid w:val="00F41DD5"/>
    <w:rsid w:val="00F451C3"/>
    <w:rsid w:val="00F6722A"/>
    <w:rsid w:val="00F80062"/>
    <w:rsid w:val="00F95395"/>
    <w:rsid w:val="00FA6BAB"/>
    <w:rsid w:val="00FB1EE4"/>
    <w:rsid w:val="00FF0AF1"/>
    <w:rsid w:val="00FF69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35FB3"/>
  <w15:chartTrackingRefBased/>
  <w15:docId w15:val="{D21BDC18-6A3A-4602-BC86-85765D73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2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F1252"/>
    <w:rPr>
      <w:i/>
      <w:iCs/>
    </w:rPr>
  </w:style>
  <w:style w:type="paragraph" w:styleId="Revision">
    <w:name w:val="Revision"/>
    <w:hidden/>
    <w:uiPriority w:val="99"/>
    <w:semiHidden/>
    <w:rsid w:val="00C90DF8"/>
    <w:pPr>
      <w:spacing w:after="0" w:line="240" w:lineRule="auto"/>
    </w:pPr>
  </w:style>
  <w:style w:type="character" w:styleId="CommentReference">
    <w:name w:val="annotation reference"/>
    <w:basedOn w:val="DefaultParagraphFont"/>
    <w:uiPriority w:val="99"/>
    <w:semiHidden/>
    <w:unhideWhenUsed/>
    <w:rsid w:val="002E102E"/>
    <w:rPr>
      <w:sz w:val="16"/>
      <w:szCs w:val="16"/>
    </w:rPr>
  </w:style>
  <w:style w:type="paragraph" w:styleId="CommentText">
    <w:name w:val="annotation text"/>
    <w:basedOn w:val="Normal"/>
    <w:link w:val="CommentTextChar"/>
    <w:uiPriority w:val="99"/>
    <w:unhideWhenUsed/>
    <w:rsid w:val="002E102E"/>
    <w:pPr>
      <w:spacing w:line="240" w:lineRule="auto"/>
    </w:pPr>
    <w:rPr>
      <w:sz w:val="20"/>
      <w:szCs w:val="20"/>
    </w:rPr>
  </w:style>
  <w:style w:type="character" w:customStyle="1" w:styleId="CommentTextChar">
    <w:name w:val="Comment Text Char"/>
    <w:basedOn w:val="DefaultParagraphFont"/>
    <w:link w:val="CommentText"/>
    <w:uiPriority w:val="99"/>
    <w:rsid w:val="002E102E"/>
    <w:rPr>
      <w:sz w:val="20"/>
      <w:szCs w:val="20"/>
    </w:rPr>
  </w:style>
  <w:style w:type="paragraph" w:styleId="CommentSubject">
    <w:name w:val="annotation subject"/>
    <w:basedOn w:val="CommentText"/>
    <w:next w:val="CommentText"/>
    <w:link w:val="CommentSubjectChar"/>
    <w:uiPriority w:val="99"/>
    <w:semiHidden/>
    <w:unhideWhenUsed/>
    <w:rsid w:val="002E102E"/>
    <w:rPr>
      <w:b/>
      <w:bCs/>
    </w:rPr>
  </w:style>
  <w:style w:type="character" w:customStyle="1" w:styleId="CommentSubjectChar">
    <w:name w:val="Comment Subject Char"/>
    <w:basedOn w:val="CommentTextChar"/>
    <w:link w:val="CommentSubject"/>
    <w:uiPriority w:val="99"/>
    <w:semiHidden/>
    <w:rsid w:val="002E102E"/>
    <w:rPr>
      <w:b/>
      <w:bCs/>
      <w:sz w:val="20"/>
      <w:szCs w:val="20"/>
    </w:rPr>
  </w:style>
  <w:style w:type="character" w:styleId="Hyperlink">
    <w:name w:val="Hyperlink"/>
    <w:basedOn w:val="DefaultParagraphFont"/>
    <w:uiPriority w:val="99"/>
    <w:semiHidden/>
    <w:unhideWhenUsed/>
    <w:rsid w:val="007C0659"/>
    <w:rPr>
      <w:color w:val="0000FF"/>
      <w:u w:val="single"/>
    </w:rPr>
  </w:style>
  <w:style w:type="character" w:customStyle="1" w:styleId="normaltextrun">
    <w:name w:val="normaltextrun"/>
    <w:basedOn w:val="DefaultParagraphFont"/>
    <w:rsid w:val="000B7CC1"/>
  </w:style>
  <w:style w:type="paragraph" w:styleId="Header">
    <w:name w:val="header"/>
    <w:basedOn w:val="Normal"/>
    <w:link w:val="HeaderChar"/>
    <w:uiPriority w:val="99"/>
    <w:unhideWhenUsed/>
    <w:rsid w:val="00362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0EB"/>
  </w:style>
  <w:style w:type="paragraph" w:styleId="Footer">
    <w:name w:val="footer"/>
    <w:basedOn w:val="Normal"/>
    <w:link w:val="FooterChar"/>
    <w:uiPriority w:val="99"/>
    <w:unhideWhenUsed/>
    <w:rsid w:val="00362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7410">
      <w:bodyDiv w:val="1"/>
      <w:marLeft w:val="0"/>
      <w:marRight w:val="0"/>
      <w:marTop w:val="0"/>
      <w:marBottom w:val="0"/>
      <w:divBdr>
        <w:top w:val="none" w:sz="0" w:space="0" w:color="auto"/>
        <w:left w:val="none" w:sz="0" w:space="0" w:color="auto"/>
        <w:bottom w:val="none" w:sz="0" w:space="0" w:color="auto"/>
        <w:right w:val="none" w:sz="0" w:space="0" w:color="auto"/>
      </w:divBdr>
    </w:div>
    <w:div w:id="904801877">
      <w:bodyDiv w:val="1"/>
      <w:marLeft w:val="0"/>
      <w:marRight w:val="0"/>
      <w:marTop w:val="0"/>
      <w:marBottom w:val="0"/>
      <w:divBdr>
        <w:top w:val="none" w:sz="0" w:space="0" w:color="auto"/>
        <w:left w:val="none" w:sz="0" w:space="0" w:color="auto"/>
        <w:bottom w:val="none" w:sz="0" w:space="0" w:color="auto"/>
        <w:right w:val="none" w:sz="0" w:space="0" w:color="auto"/>
      </w:divBdr>
    </w:div>
    <w:div w:id="1110512698">
      <w:bodyDiv w:val="1"/>
      <w:marLeft w:val="0"/>
      <w:marRight w:val="0"/>
      <w:marTop w:val="0"/>
      <w:marBottom w:val="0"/>
      <w:divBdr>
        <w:top w:val="none" w:sz="0" w:space="0" w:color="auto"/>
        <w:left w:val="none" w:sz="0" w:space="0" w:color="auto"/>
        <w:bottom w:val="none" w:sz="0" w:space="0" w:color="auto"/>
        <w:right w:val="none" w:sz="0" w:space="0" w:color="auto"/>
      </w:divBdr>
    </w:div>
    <w:div w:id="1747607829">
      <w:bodyDiv w:val="1"/>
      <w:marLeft w:val="0"/>
      <w:marRight w:val="0"/>
      <w:marTop w:val="0"/>
      <w:marBottom w:val="0"/>
      <w:divBdr>
        <w:top w:val="none" w:sz="0" w:space="0" w:color="auto"/>
        <w:left w:val="none" w:sz="0" w:space="0" w:color="auto"/>
        <w:bottom w:val="none" w:sz="0" w:space="0" w:color="auto"/>
        <w:right w:val="none" w:sz="0" w:space="0" w:color="auto"/>
      </w:divBdr>
    </w:div>
    <w:div w:id="18630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erryglobal.com/en/product/product-item/61mm-industop-screw-closure-tamper-evident-12462607" TargetMode="External"/><Relationship Id="rId18" Type="http://schemas.openxmlformats.org/officeDocument/2006/relationships/hyperlink" Target="https://twitter.com/BerryGlobalInc"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webSettings" Target="webSettings.xml"/><Relationship Id="rId12" Type="http://schemas.openxmlformats.org/officeDocument/2006/relationships/hyperlink" Target="https://www.berryglobal.com/en/sustainability/supporting-customer-goals/recycled-plastic" TargetMode="External"/><Relationship Id="rId17" Type="http://schemas.openxmlformats.org/officeDocument/2006/relationships/hyperlink" Target="https://www.linkedin.com/company/berryglobal"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www.berryglobal.com" TargetMode="External"/><Relationship Id="rId20" Type="http://schemas.openxmlformats.org/officeDocument/2006/relationships/hyperlink" Target="https://twitter.com/berryglobalinc?lang=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rryglobal.com/en/product/product-item/20l-optimum-13057654" TargetMode="External"/><Relationship Id="rId24" Type="http://schemas.openxmlformats.org/officeDocument/2006/relationships/hyperlink" Target="https://www.youtube.com/channel/UCYgqs8gpyvM1-E3gP0Z-GsA" TargetMode="External"/><Relationship Id="rId5" Type="http://schemas.openxmlformats.org/officeDocument/2006/relationships/styles" Target="styles.xml"/><Relationship Id="rId15" Type="http://schemas.openxmlformats.org/officeDocument/2006/relationships/hyperlink" Target="https://www.berryglobal.com/en/product/canisters-jerrycans" TargetMode="External"/><Relationship Id="rId23"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hyperlink" Target="mailto:info@nmpr.co.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berryglobal.com/en/product/product-item/industop-63mm-tamper-evident-12462615" TargetMode="External"/><Relationship Id="rId22" Type="http://schemas.openxmlformats.org/officeDocument/2006/relationships/hyperlink" Target="https://www.linkedin.com/company/berrygloba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7" ma:contentTypeDescription="Create a new document." ma:contentTypeScope="" ma:versionID="905f5447b4a574143c3750fe021ae236">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a94c1973ffa19e1f5d3f7becc4e9cb58"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9DF690-4303-4E1F-99FB-7D2BA959952C}">
  <ds:schemaRefs>
    <ds:schemaRef ds:uri="http://schemas.openxmlformats.org/officeDocument/2006/bibliography"/>
  </ds:schemaRefs>
</ds:datastoreItem>
</file>

<file path=customXml/itemProps2.xml><?xml version="1.0" encoding="utf-8"?>
<ds:datastoreItem xmlns:ds="http://schemas.openxmlformats.org/officeDocument/2006/customXml" ds:itemID="{8F8107CA-788A-4E15-AFE9-3CD967C887E4}">
  <ds:schemaRefs>
    <ds:schemaRef ds:uri="http://schemas.microsoft.com/sharepoint/v3/contenttype/forms"/>
  </ds:schemaRefs>
</ds:datastoreItem>
</file>

<file path=customXml/itemProps3.xml><?xml version="1.0" encoding="utf-8"?>
<ds:datastoreItem xmlns:ds="http://schemas.openxmlformats.org/officeDocument/2006/customXml" ds:itemID="{61C34912-EF64-4CF4-AE9E-F1F0F2248263}">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4.xml><?xml version="1.0" encoding="utf-8"?>
<ds:datastoreItem xmlns:ds="http://schemas.openxmlformats.org/officeDocument/2006/customXml" ds:itemID="{0DE042BA-7AD3-4470-8119-A5F7AFCF6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702</Words>
  <Characters>4003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bob@nmpr.co.uk</dc:creator>
  <cp:keywords/>
  <dc:description/>
  <cp:lastModifiedBy>Jack Readman</cp:lastModifiedBy>
  <cp:revision>12</cp:revision>
  <cp:lastPrinted>2023-07-13T17:56:00Z</cp:lastPrinted>
  <dcterms:created xsi:type="dcterms:W3CDTF">2023-08-22T14:17:00Z</dcterms:created>
  <dcterms:modified xsi:type="dcterms:W3CDTF">2023-10-10T08:25:00Z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