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44BF" w14:textId="216F157C" w:rsidR="00DE4F91" w:rsidRPr="00D65ACF" w:rsidRDefault="00DE4F91" w:rsidP="00457A64">
      <w:pPr>
        <w:pStyle w:val="berschrift1"/>
        <w:ind w:firstLine="12"/>
        <w:rPr>
          <w:rFonts w:ascii="Arial" w:hAnsi="Arial"/>
          <w:b w:val="0"/>
          <w:i/>
          <w:iCs/>
          <w:u w:val="single"/>
          <w:lang w:val="en-GB"/>
        </w:rPr>
      </w:pPr>
      <w:r w:rsidRPr="00D65ACF">
        <w:rPr>
          <w:rFonts w:ascii="Arial" w:hAnsi="Arial"/>
          <w:i/>
          <w:iCs/>
          <w:u w:val="single"/>
          <w:lang w:val="en-GB"/>
        </w:rPr>
        <w:t>Press</w:t>
      </w:r>
      <w:r w:rsidR="00C16BEE" w:rsidRPr="00D65ACF">
        <w:rPr>
          <w:rFonts w:ascii="Arial" w:hAnsi="Arial"/>
          <w:i/>
          <w:iCs/>
          <w:u w:val="single"/>
          <w:lang w:val="en-GB"/>
        </w:rPr>
        <w:t xml:space="preserve"> information</w:t>
      </w:r>
    </w:p>
    <w:p w14:paraId="2F273CD0" w14:textId="77777777" w:rsidR="00DE4F91" w:rsidRPr="00D65ACF" w:rsidRDefault="00DE4F91" w:rsidP="00457A64">
      <w:pPr>
        <w:pStyle w:val="Kopfzeile"/>
        <w:tabs>
          <w:tab w:val="clear" w:pos="4536"/>
          <w:tab w:val="clear" w:pos="9072"/>
        </w:tabs>
        <w:spacing w:line="300" w:lineRule="auto"/>
        <w:ind w:left="0" w:firstLine="12"/>
        <w:jc w:val="left"/>
        <w:rPr>
          <w:b/>
          <w:szCs w:val="20"/>
          <w:lang w:val="en-GB"/>
        </w:rPr>
      </w:pPr>
    </w:p>
    <w:p w14:paraId="3DF8A589" w14:textId="77777777" w:rsidR="00D65ACF" w:rsidRPr="00D65ACF" w:rsidRDefault="00D65ACF" w:rsidP="00D65ACF">
      <w:pPr>
        <w:pStyle w:val="Kopfzeile"/>
        <w:tabs>
          <w:tab w:val="clear" w:pos="4536"/>
          <w:tab w:val="clear" w:pos="9072"/>
        </w:tabs>
        <w:spacing w:line="300" w:lineRule="auto"/>
        <w:ind w:left="0" w:firstLine="12"/>
        <w:jc w:val="left"/>
        <w:rPr>
          <w:b/>
          <w:color w:val="000000"/>
          <w:sz w:val="32"/>
          <w:szCs w:val="32"/>
          <w:shd w:val="clear" w:color="auto" w:fill="FFFFFF"/>
          <w:lang w:val="en-GB"/>
        </w:rPr>
      </w:pPr>
      <w:r>
        <w:rPr>
          <w:b/>
          <w:sz w:val="32"/>
          <w:lang w:val="en-US" w:bidi="en-US"/>
        </w:rPr>
        <w:t>Meraxis successfully completes Fournier acquisition</w:t>
      </w:r>
    </w:p>
    <w:p w14:paraId="06F360C6" w14:textId="77777777" w:rsidR="00D65ACF" w:rsidRPr="00D65ACF" w:rsidRDefault="00D65ACF" w:rsidP="00D65ACF">
      <w:pPr>
        <w:pStyle w:val="Kopfzeile"/>
        <w:tabs>
          <w:tab w:val="clear" w:pos="4536"/>
          <w:tab w:val="clear" w:pos="9072"/>
        </w:tabs>
        <w:spacing w:line="300" w:lineRule="auto"/>
        <w:ind w:left="0" w:firstLine="12"/>
        <w:jc w:val="left"/>
        <w:rPr>
          <w:b/>
          <w:bCs/>
          <w:color w:val="000000"/>
          <w:sz w:val="8"/>
          <w:szCs w:val="8"/>
          <w:lang w:val="en-GB"/>
        </w:rPr>
      </w:pPr>
    </w:p>
    <w:p w14:paraId="41D443E7" w14:textId="5B6F5CF1" w:rsidR="00D65ACF" w:rsidRPr="009A16F1" w:rsidRDefault="00D65ACF" w:rsidP="00D65ACF">
      <w:pPr>
        <w:pStyle w:val="Kopfzeile"/>
        <w:spacing w:line="300" w:lineRule="auto"/>
        <w:ind w:left="0" w:firstLine="12"/>
        <w:jc w:val="left"/>
        <w:rPr>
          <w:b/>
          <w:bCs/>
          <w:lang w:val="en-US"/>
        </w:rPr>
      </w:pPr>
      <w:r w:rsidRPr="00EF2277">
        <w:rPr>
          <w:b/>
          <w:lang w:val="en-US" w:bidi="en-US"/>
        </w:rPr>
        <w:t xml:space="preserve">Muri b. Bern/Switzerland, April </w:t>
      </w:r>
      <w:r w:rsidR="00F47B6A">
        <w:rPr>
          <w:b/>
          <w:lang w:val="en-US" w:bidi="en-US"/>
        </w:rPr>
        <w:t>4</w:t>
      </w:r>
      <w:r w:rsidRPr="00EF2277">
        <w:rPr>
          <w:b/>
          <w:lang w:val="en-US" w:bidi="en-US"/>
        </w:rPr>
        <w:t xml:space="preserve">, 2023 – </w:t>
      </w:r>
      <w:r w:rsidR="002328E7">
        <w:rPr>
          <w:b/>
          <w:lang w:val="en-US" w:bidi="en-US"/>
        </w:rPr>
        <w:t xml:space="preserve">The </w:t>
      </w:r>
      <w:r w:rsidRPr="00EF2277">
        <w:rPr>
          <w:b/>
          <w:lang w:val="en-US" w:bidi="en-US"/>
        </w:rPr>
        <w:t>Swiss polymer distributor Meraxis has successfully completed its acquisition of the French Fournier</w:t>
      </w:r>
      <w:r w:rsidR="000F27D3">
        <w:rPr>
          <w:b/>
          <w:lang w:val="en-US" w:bidi="en-US"/>
        </w:rPr>
        <w:t xml:space="preserve"> Polymers</w:t>
      </w:r>
      <w:r w:rsidRPr="00EF2277">
        <w:rPr>
          <w:b/>
          <w:lang w:val="en-US" w:bidi="en-US"/>
        </w:rPr>
        <w:t xml:space="preserve"> </w:t>
      </w:r>
      <w:r w:rsidR="000F27D3">
        <w:rPr>
          <w:b/>
          <w:lang w:val="en-US" w:bidi="en-US"/>
        </w:rPr>
        <w:t>group</w:t>
      </w:r>
      <w:r w:rsidRPr="00EF2277">
        <w:rPr>
          <w:b/>
          <w:lang w:val="en-US" w:bidi="en-US"/>
        </w:rPr>
        <w:t>.</w:t>
      </w:r>
      <w:r w:rsidRPr="00EF2277">
        <w:rPr>
          <w:b/>
          <w:shd w:val="clear" w:color="auto" w:fill="FFFFFF"/>
          <w:lang w:val="en-US" w:bidi="en-US"/>
        </w:rPr>
        <w:t xml:space="preserve"> </w:t>
      </w:r>
      <w:r w:rsidRPr="00EF2277">
        <w:rPr>
          <w:b/>
          <w:lang w:val="en-US" w:bidi="en-US"/>
        </w:rPr>
        <w:t>In the run-up to the closing in Madrid, the responsible authorities had issued all the necessary approvals and clearance following an antitrust review.</w:t>
      </w:r>
      <w:r w:rsidRPr="00EF2277">
        <w:rPr>
          <w:b/>
          <w:shd w:val="clear" w:color="auto" w:fill="FFFFFF"/>
          <w:lang w:val="en-US" w:bidi="en-US"/>
        </w:rPr>
        <w:t xml:space="preserve"> </w:t>
      </w:r>
      <w:r w:rsidRPr="00EF2277">
        <w:rPr>
          <w:b/>
          <w:lang w:val="en-US" w:bidi="en-US"/>
        </w:rPr>
        <w:t xml:space="preserve">The corresponding purchase agreement had been signed in September 2022. Fournier is one of the leading distributors </w:t>
      </w:r>
      <w:r w:rsidR="005B124D" w:rsidRPr="00EF2277">
        <w:rPr>
          <w:b/>
          <w:lang w:val="en-US" w:bidi="en-US"/>
        </w:rPr>
        <w:t xml:space="preserve">in Europe and North Africa </w:t>
      </w:r>
      <w:r w:rsidRPr="00EF2277">
        <w:rPr>
          <w:b/>
          <w:lang w:val="en-US" w:bidi="en-US"/>
        </w:rPr>
        <w:t xml:space="preserve">of standard and technical polymers </w:t>
      </w:r>
      <w:r w:rsidR="009B1F8E">
        <w:rPr>
          <w:b/>
          <w:lang w:val="en-US" w:bidi="en-US"/>
        </w:rPr>
        <w:t>as well as</w:t>
      </w:r>
      <w:r w:rsidR="009B1F8E" w:rsidRPr="00EF2277">
        <w:rPr>
          <w:b/>
          <w:lang w:val="en-US" w:bidi="en-US"/>
        </w:rPr>
        <w:t xml:space="preserve"> </w:t>
      </w:r>
      <w:r w:rsidRPr="00EF2277">
        <w:rPr>
          <w:b/>
          <w:lang w:val="en-US" w:bidi="en-US"/>
        </w:rPr>
        <w:t xml:space="preserve">additives. The acquisition will enable Meraxis to strengthen its regional presence in Western Europe and North Africa </w:t>
      </w:r>
      <w:r w:rsidR="00C52A3C">
        <w:rPr>
          <w:b/>
          <w:lang w:val="en-US" w:bidi="en-US"/>
        </w:rPr>
        <w:t>as well as</w:t>
      </w:r>
      <w:r w:rsidR="00C52A3C" w:rsidRPr="00EF2277">
        <w:rPr>
          <w:b/>
          <w:lang w:val="en-US" w:bidi="en-US"/>
        </w:rPr>
        <w:t xml:space="preserve"> </w:t>
      </w:r>
      <w:r w:rsidRPr="00EF2277">
        <w:rPr>
          <w:b/>
          <w:lang w:val="en-US" w:bidi="en-US"/>
        </w:rPr>
        <w:t>expand its service and product portfolio.</w:t>
      </w:r>
    </w:p>
    <w:p w14:paraId="073DC2B3" w14:textId="77777777" w:rsidR="00D65ACF" w:rsidRPr="009A16F1" w:rsidRDefault="00D65ACF" w:rsidP="00D65ACF">
      <w:pPr>
        <w:pStyle w:val="Kopfzeile"/>
        <w:spacing w:line="300" w:lineRule="auto"/>
        <w:ind w:left="0" w:firstLine="12"/>
        <w:jc w:val="left"/>
        <w:rPr>
          <w:b/>
          <w:bCs/>
          <w:color w:val="000000"/>
          <w:szCs w:val="20"/>
          <w:lang w:val="en-US"/>
        </w:rPr>
      </w:pPr>
    </w:p>
    <w:p w14:paraId="6762EEF8" w14:textId="20E69FEF" w:rsidR="00D65ACF" w:rsidRPr="009A16F1" w:rsidRDefault="00D65ACF" w:rsidP="00D65ACF">
      <w:pPr>
        <w:widowControl/>
        <w:autoSpaceDE/>
        <w:autoSpaceDN/>
        <w:spacing w:line="300" w:lineRule="auto"/>
        <w:ind w:left="0" w:firstLine="12"/>
        <w:jc w:val="left"/>
        <w:rPr>
          <w:lang w:val="en-US"/>
        </w:rPr>
      </w:pPr>
      <w:r>
        <w:rPr>
          <w:lang w:val="en-US" w:bidi="en-US"/>
        </w:rPr>
        <w:t xml:space="preserve">“Fournier and Meraxis have very similar values and ways of thinking, but we are also united by our international orientation,” emphasized Dr. Stefan Girschik, CEO at Meraxis. “We see ourselves as a comprehensive </w:t>
      </w:r>
      <w:r w:rsidR="00913AE5">
        <w:rPr>
          <w:lang w:val="en-US" w:bidi="en-US"/>
        </w:rPr>
        <w:t xml:space="preserve">product and service </w:t>
      </w:r>
      <w:r>
        <w:rPr>
          <w:lang w:val="en-US" w:bidi="en-US"/>
        </w:rPr>
        <w:t xml:space="preserve">provider for our customers. The merger will allow us to expand our services in distribution, supply chain management, </w:t>
      </w:r>
      <w:r w:rsidR="001733FA">
        <w:rPr>
          <w:lang w:val="en-US" w:bidi="en-US"/>
        </w:rPr>
        <w:t>digitalization,</w:t>
      </w:r>
      <w:r>
        <w:rPr>
          <w:lang w:val="en-US" w:bidi="en-US"/>
        </w:rPr>
        <w:t xml:space="preserve"> and material development, as well as sustainability. In addition, the joint product portfolio offers </w:t>
      </w:r>
      <w:r w:rsidR="006C3FC6">
        <w:rPr>
          <w:lang w:val="en-US" w:bidi="en-US"/>
        </w:rPr>
        <w:t xml:space="preserve">optimal </w:t>
      </w:r>
      <w:r>
        <w:rPr>
          <w:lang w:val="en-US" w:bidi="en-US"/>
        </w:rPr>
        <w:t xml:space="preserve">synergy potential – </w:t>
      </w:r>
      <w:r w:rsidR="00145416">
        <w:rPr>
          <w:lang w:val="en-US" w:bidi="en-US"/>
        </w:rPr>
        <w:t xml:space="preserve">next to </w:t>
      </w:r>
      <w:r>
        <w:rPr>
          <w:lang w:val="en-US" w:bidi="en-US"/>
        </w:rPr>
        <w:t xml:space="preserve">standard polymers and additives, this includes technical </w:t>
      </w:r>
      <w:proofErr w:type="gramStart"/>
      <w:r>
        <w:rPr>
          <w:lang w:val="en-US" w:bidi="en-US"/>
        </w:rPr>
        <w:t>polymers in particular</w:t>
      </w:r>
      <w:proofErr w:type="gramEnd"/>
      <w:r>
        <w:rPr>
          <w:lang w:val="en-US" w:bidi="en-US"/>
        </w:rPr>
        <w:t>.”</w:t>
      </w:r>
    </w:p>
    <w:p w14:paraId="597684CC" w14:textId="77777777" w:rsidR="00D65ACF" w:rsidRPr="009A16F1" w:rsidRDefault="00D65ACF" w:rsidP="00D65ACF">
      <w:pPr>
        <w:widowControl/>
        <w:autoSpaceDE/>
        <w:autoSpaceDN/>
        <w:spacing w:line="300" w:lineRule="auto"/>
        <w:ind w:left="0" w:firstLine="12"/>
        <w:jc w:val="left"/>
        <w:rPr>
          <w:szCs w:val="20"/>
          <w:lang w:val="en-US"/>
        </w:rPr>
      </w:pPr>
    </w:p>
    <w:p w14:paraId="32D164BF" w14:textId="677AA2E1" w:rsidR="00D65ACF" w:rsidRPr="009A16F1" w:rsidRDefault="00D65ACF" w:rsidP="00D65ACF">
      <w:pPr>
        <w:widowControl/>
        <w:autoSpaceDE/>
        <w:autoSpaceDN/>
        <w:spacing w:line="300" w:lineRule="auto"/>
        <w:ind w:left="0"/>
        <w:jc w:val="left"/>
        <w:rPr>
          <w:szCs w:val="20"/>
          <w:lang w:val="en-US"/>
        </w:rPr>
      </w:pPr>
      <w:r>
        <w:rPr>
          <w:lang w:val="en-US" w:bidi="en-US"/>
        </w:rPr>
        <w:t xml:space="preserve">Fournier serves plastics processors in a variety of industries, </w:t>
      </w:r>
      <w:r w:rsidR="00CB7ECD">
        <w:rPr>
          <w:lang w:val="en-US" w:bidi="en-US"/>
        </w:rPr>
        <w:t xml:space="preserve">such as </w:t>
      </w:r>
      <w:r>
        <w:rPr>
          <w:lang w:val="en-US" w:bidi="en-US"/>
        </w:rPr>
        <w:t xml:space="preserve">automotive, electronics and construction. With this acquisition, Meraxis is </w:t>
      </w:r>
      <w:r w:rsidR="005722EF">
        <w:rPr>
          <w:lang w:val="en-US" w:bidi="en-US"/>
        </w:rPr>
        <w:t xml:space="preserve">consequently </w:t>
      </w:r>
      <w:r>
        <w:rPr>
          <w:lang w:val="en-US" w:bidi="en-US"/>
        </w:rPr>
        <w:t xml:space="preserve">pursuing its growth course. The globally active company is acquiring companies in </w:t>
      </w:r>
      <w:r w:rsidR="00146A3F">
        <w:rPr>
          <w:lang w:val="en-US" w:bidi="en-US"/>
        </w:rPr>
        <w:t>nine</w:t>
      </w:r>
      <w:r>
        <w:rPr>
          <w:lang w:val="en-US" w:bidi="en-US"/>
        </w:rPr>
        <w:t xml:space="preserve"> countries. This includes the entire European branch with locations in France, Benelux, Spain, Portugal, Italy</w:t>
      </w:r>
      <w:r w:rsidR="00DB46DD">
        <w:rPr>
          <w:lang w:val="en-US" w:bidi="en-US"/>
        </w:rPr>
        <w:t xml:space="preserve">, </w:t>
      </w:r>
      <w:proofErr w:type="gramStart"/>
      <w:r w:rsidR="00DB46DD">
        <w:rPr>
          <w:lang w:val="en-US" w:bidi="en-US"/>
        </w:rPr>
        <w:t>UK</w:t>
      </w:r>
      <w:proofErr w:type="gramEnd"/>
      <w:r>
        <w:rPr>
          <w:lang w:val="en-US" w:bidi="en-US"/>
        </w:rPr>
        <w:t xml:space="preserve"> and Germany, as well as the North African companies in Morocco and Tunisia. All employees will be taken on. The contact persons for customers and partners will </w:t>
      </w:r>
      <w:r w:rsidR="008D2DF9">
        <w:rPr>
          <w:lang w:val="en-US" w:bidi="en-US"/>
        </w:rPr>
        <w:t>remain the same</w:t>
      </w:r>
      <w:r>
        <w:rPr>
          <w:lang w:val="en-US" w:bidi="en-US"/>
        </w:rPr>
        <w:t>.</w:t>
      </w:r>
    </w:p>
    <w:p w14:paraId="2612B6AD" w14:textId="77777777" w:rsidR="00D65ACF" w:rsidRPr="009A16F1" w:rsidRDefault="00D65ACF" w:rsidP="00D65ACF">
      <w:pPr>
        <w:widowControl/>
        <w:autoSpaceDE/>
        <w:autoSpaceDN/>
        <w:spacing w:line="300" w:lineRule="auto"/>
        <w:ind w:left="0"/>
        <w:jc w:val="left"/>
        <w:rPr>
          <w:szCs w:val="20"/>
          <w:lang w:val="en-US"/>
        </w:rPr>
      </w:pPr>
    </w:p>
    <w:p w14:paraId="36F6C2AC" w14:textId="1E5FA610" w:rsidR="00D65ACF" w:rsidRPr="00B932C7" w:rsidRDefault="00323DE6" w:rsidP="00D65ACF">
      <w:pPr>
        <w:widowControl/>
        <w:autoSpaceDE/>
        <w:autoSpaceDN/>
        <w:spacing w:line="300" w:lineRule="auto"/>
        <w:ind w:left="0"/>
        <w:jc w:val="left"/>
        <w:rPr>
          <w:lang w:val="en-US"/>
        </w:rPr>
      </w:pPr>
      <w:r>
        <w:rPr>
          <w:lang w:val="en-US" w:bidi="en-US"/>
        </w:rPr>
        <w:t>The p</w:t>
      </w:r>
      <w:r w:rsidR="00D65ACF">
        <w:rPr>
          <w:lang w:val="en-US" w:bidi="en-US"/>
        </w:rPr>
        <w:t>revious Fournier Managing Director and shareholder, Bruno Fournier, will remain with the company. He will continue to manage the day-to-day operations. “</w:t>
      </w:r>
      <w:r w:rsidR="00E23D36">
        <w:rPr>
          <w:lang w:val="en-US" w:bidi="en-US"/>
        </w:rPr>
        <w:t>We will continue working together with</w:t>
      </w:r>
      <w:r w:rsidR="00D65ACF">
        <w:rPr>
          <w:lang w:val="en-US" w:bidi="en-US"/>
        </w:rPr>
        <w:t xml:space="preserve"> our customers and partners </w:t>
      </w:r>
      <w:r w:rsidR="00E23D36">
        <w:rPr>
          <w:lang w:val="en-US" w:bidi="en-US"/>
        </w:rPr>
        <w:t>as we did before</w:t>
      </w:r>
      <w:r w:rsidR="00F82616">
        <w:rPr>
          <w:lang w:val="en-US" w:bidi="en-US"/>
        </w:rPr>
        <w:t xml:space="preserve"> </w:t>
      </w:r>
      <w:r w:rsidR="00D65ACF">
        <w:rPr>
          <w:lang w:val="en-US" w:bidi="en-US"/>
        </w:rPr>
        <w:t xml:space="preserve">– except that the integration into the Meraxis Group means an increase in services from a single source,” says Fournier. “Meraxis’ </w:t>
      </w:r>
      <w:proofErr w:type="spellStart"/>
      <w:r w:rsidR="00D65ACF">
        <w:rPr>
          <w:lang w:val="en-US" w:bidi="en-US"/>
        </w:rPr>
        <w:t>one-stop</w:t>
      </w:r>
      <w:proofErr w:type="spellEnd"/>
      <w:r w:rsidR="00D65ACF">
        <w:rPr>
          <w:lang w:val="en-US" w:bidi="en-US"/>
        </w:rPr>
        <w:t xml:space="preserve"> shop offers polymer processors everything they need – polymers, tools, technical advice, digital solutions</w:t>
      </w:r>
      <w:r w:rsidR="00934081">
        <w:rPr>
          <w:lang w:val="en-US" w:bidi="en-US"/>
        </w:rPr>
        <w:t>,</w:t>
      </w:r>
      <w:r w:rsidR="00D65ACF">
        <w:rPr>
          <w:lang w:val="en-US" w:bidi="en-US"/>
        </w:rPr>
        <w:t xml:space="preserve"> and more. Such a full-service offer maximizes our customer </w:t>
      </w:r>
      <w:r w:rsidR="000917D7">
        <w:rPr>
          <w:lang w:val="en-US" w:bidi="en-US"/>
        </w:rPr>
        <w:t xml:space="preserve">centricity </w:t>
      </w:r>
      <w:r w:rsidR="00D65ACF">
        <w:rPr>
          <w:lang w:val="en-US" w:bidi="en-US"/>
        </w:rPr>
        <w:t>and significantly simplifies the purchasing process. Together with Meraxis, Fournier can shape the polymer business of the future.”</w:t>
      </w:r>
    </w:p>
    <w:p w14:paraId="50D2483B" w14:textId="77777777" w:rsidR="00A343E4" w:rsidRPr="00D65ACF" w:rsidRDefault="00A343E4" w:rsidP="00457A64">
      <w:pPr>
        <w:widowControl/>
        <w:autoSpaceDE/>
        <w:autoSpaceDN/>
        <w:spacing w:line="300" w:lineRule="auto"/>
        <w:ind w:left="0"/>
        <w:jc w:val="left"/>
        <w:rPr>
          <w:bCs/>
          <w:szCs w:val="20"/>
          <w:lang w:val="en-US"/>
        </w:rPr>
      </w:pPr>
    </w:p>
    <w:p w14:paraId="507FF6B4" w14:textId="77777777" w:rsidR="0017190A" w:rsidRPr="00D65ACF" w:rsidRDefault="0017190A" w:rsidP="00457A64">
      <w:pPr>
        <w:ind w:left="0"/>
        <w:jc w:val="left"/>
        <w:rPr>
          <w:lang w:val="en-GB"/>
        </w:rPr>
      </w:pPr>
    </w:p>
    <w:p w14:paraId="07B97F1E" w14:textId="6F763111" w:rsidR="00F9489A" w:rsidRPr="00D65ACF" w:rsidRDefault="00F9489A" w:rsidP="00457A64">
      <w:pPr>
        <w:ind w:left="0"/>
        <w:jc w:val="left"/>
        <w:rPr>
          <w:szCs w:val="20"/>
          <w:lang w:val="en-GB"/>
        </w:rPr>
      </w:pPr>
    </w:p>
    <w:p w14:paraId="5BE0712C" w14:textId="460EBC94" w:rsidR="00C21783" w:rsidRPr="00D65ACF" w:rsidRDefault="00C21783" w:rsidP="00457A64">
      <w:pPr>
        <w:ind w:left="0"/>
        <w:jc w:val="left"/>
        <w:rPr>
          <w:szCs w:val="20"/>
          <w:lang w:val="en-GB"/>
        </w:rPr>
      </w:pPr>
    </w:p>
    <w:p w14:paraId="3E656404" w14:textId="77777777" w:rsidR="00326664" w:rsidRPr="00D65ACF" w:rsidRDefault="00326664" w:rsidP="00457A64">
      <w:pPr>
        <w:ind w:left="0"/>
        <w:jc w:val="left"/>
        <w:rPr>
          <w:b/>
          <w:color w:val="000000"/>
          <w:sz w:val="16"/>
          <w:szCs w:val="16"/>
          <w:lang w:val="en-GB"/>
        </w:rPr>
      </w:pPr>
    </w:p>
    <w:p w14:paraId="008CB6FD" w14:textId="77777777" w:rsidR="00D65ACF" w:rsidRPr="00EA00F6" w:rsidRDefault="00D65ACF" w:rsidP="00457A64">
      <w:pPr>
        <w:adjustRightInd w:val="0"/>
        <w:ind w:left="0"/>
        <w:jc w:val="left"/>
        <w:rPr>
          <w:b/>
          <w:color w:val="000000"/>
          <w:sz w:val="16"/>
          <w:szCs w:val="16"/>
          <w:lang w:val="en-GB"/>
        </w:rPr>
      </w:pPr>
    </w:p>
    <w:p w14:paraId="198EC32F" w14:textId="77777777" w:rsidR="00D65ACF" w:rsidRPr="00EA00F6" w:rsidRDefault="00D65ACF" w:rsidP="00457A64">
      <w:pPr>
        <w:adjustRightInd w:val="0"/>
        <w:ind w:left="0"/>
        <w:jc w:val="left"/>
        <w:rPr>
          <w:b/>
          <w:color w:val="000000"/>
          <w:sz w:val="16"/>
          <w:szCs w:val="16"/>
          <w:lang w:val="en-GB"/>
        </w:rPr>
      </w:pPr>
    </w:p>
    <w:p w14:paraId="58D2A289" w14:textId="21FE0CD5" w:rsidR="00DE4F91" w:rsidRPr="00EA00F6" w:rsidRDefault="00D65ACF" w:rsidP="00457A64">
      <w:pPr>
        <w:adjustRightInd w:val="0"/>
        <w:ind w:left="0"/>
        <w:jc w:val="left"/>
        <w:rPr>
          <w:b/>
          <w:color w:val="000000"/>
          <w:sz w:val="16"/>
          <w:szCs w:val="16"/>
          <w:lang w:val="en-GB"/>
        </w:rPr>
      </w:pPr>
      <w:r w:rsidRPr="00EA00F6">
        <w:rPr>
          <w:b/>
          <w:color w:val="000000"/>
          <w:sz w:val="16"/>
          <w:szCs w:val="16"/>
          <w:lang w:val="en-GB"/>
        </w:rPr>
        <w:lastRenderedPageBreak/>
        <w:t>Press contact:</w:t>
      </w:r>
    </w:p>
    <w:p w14:paraId="23B2596F" w14:textId="77777777" w:rsidR="00DE4F91" w:rsidRPr="00EA00F6" w:rsidRDefault="00DE4F91" w:rsidP="00457A64">
      <w:pPr>
        <w:adjustRightInd w:val="0"/>
        <w:ind w:left="0"/>
        <w:jc w:val="left"/>
        <w:rPr>
          <w:color w:val="000000"/>
          <w:sz w:val="16"/>
          <w:szCs w:val="16"/>
          <w:lang w:val="en-GB"/>
        </w:rPr>
      </w:pPr>
      <w:r w:rsidRPr="00EA00F6">
        <w:rPr>
          <w:color w:val="000000"/>
          <w:sz w:val="16"/>
          <w:szCs w:val="16"/>
          <w:lang w:val="en-GB"/>
        </w:rPr>
        <w:t xml:space="preserve">Julia </w:t>
      </w:r>
      <w:proofErr w:type="spellStart"/>
      <w:r w:rsidRPr="00EA00F6">
        <w:rPr>
          <w:color w:val="000000"/>
          <w:sz w:val="16"/>
          <w:szCs w:val="16"/>
          <w:lang w:val="en-GB"/>
        </w:rPr>
        <w:t>Hisge</w:t>
      </w:r>
      <w:proofErr w:type="spellEnd"/>
    </w:p>
    <w:p w14:paraId="0C1DADE0" w14:textId="77777777" w:rsidR="00DE4F91" w:rsidRPr="00EA00F6" w:rsidRDefault="00DE4F91" w:rsidP="00457A64">
      <w:pPr>
        <w:adjustRightInd w:val="0"/>
        <w:ind w:left="0"/>
        <w:jc w:val="left"/>
        <w:rPr>
          <w:color w:val="000000"/>
          <w:sz w:val="16"/>
          <w:szCs w:val="16"/>
          <w:lang w:val="en-GB"/>
        </w:rPr>
      </w:pPr>
      <w:proofErr w:type="spellStart"/>
      <w:r w:rsidRPr="00EA00F6">
        <w:rPr>
          <w:color w:val="000000"/>
          <w:sz w:val="16"/>
          <w:szCs w:val="16"/>
          <w:lang w:val="en-GB"/>
        </w:rPr>
        <w:t>möller</w:t>
      </w:r>
      <w:proofErr w:type="spellEnd"/>
      <w:r w:rsidRPr="00EA00F6">
        <w:rPr>
          <w:color w:val="000000"/>
          <w:sz w:val="16"/>
          <w:szCs w:val="16"/>
          <w:lang w:val="en-GB"/>
        </w:rPr>
        <w:t xml:space="preserve"> pr GmbH</w:t>
      </w:r>
    </w:p>
    <w:p w14:paraId="69A426D7" w14:textId="77777777" w:rsidR="00DE4F91" w:rsidRPr="00533CC5" w:rsidRDefault="00DE4F91" w:rsidP="00457A64">
      <w:pPr>
        <w:adjustRightInd w:val="0"/>
        <w:ind w:left="0"/>
        <w:jc w:val="left"/>
        <w:rPr>
          <w:color w:val="000000"/>
          <w:sz w:val="16"/>
          <w:szCs w:val="16"/>
          <w:lang w:val="de-CH"/>
        </w:rPr>
      </w:pPr>
      <w:r w:rsidRPr="00533CC5">
        <w:rPr>
          <w:color w:val="000000"/>
          <w:sz w:val="16"/>
          <w:szCs w:val="16"/>
          <w:lang w:val="de-CH"/>
        </w:rPr>
        <w:t xml:space="preserve">Tel: +49 (0)221 80 10 87 </w:t>
      </w:r>
      <w:r>
        <w:rPr>
          <w:color w:val="000000"/>
          <w:sz w:val="16"/>
          <w:szCs w:val="16"/>
          <w:lang w:val="de-CH"/>
        </w:rPr>
        <w:t>90</w:t>
      </w:r>
    </w:p>
    <w:p w14:paraId="5972F659" w14:textId="77777777" w:rsidR="00DE4F91" w:rsidRDefault="00000000" w:rsidP="00457A64">
      <w:pPr>
        <w:adjustRightInd w:val="0"/>
        <w:ind w:left="0"/>
        <w:jc w:val="left"/>
        <w:rPr>
          <w:rStyle w:val="Hyperlink"/>
          <w:sz w:val="16"/>
          <w:szCs w:val="16"/>
          <w:lang w:val="de-CH"/>
        </w:rPr>
      </w:pPr>
      <w:hyperlink r:id="rId10" w:history="1">
        <w:r w:rsidR="00DE4F91" w:rsidRPr="00F33647">
          <w:rPr>
            <w:rStyle w:val="Hyperlink"/>
            <w:sz w:val="16"/>
            <w:szCs w:val="16"/>
            <w:lang w:val="de-CH"/>
          </w:rPr>
          <w:t>jh@moeller-pr.de</w:t>
        </w:r>
      </w:hyperlink>
    </w:p>
    <w:p w14:paraId="2A6191EB" w14:textId="77777777" w:rsidR="00DE4F91" w:rsidRPr="00B913EB" w:rsidRDefault="00000000" w:rsidP="00457A64">
      <w:pPr>
        <w:adjustRightInd w:val="0"/>
        <w:ind w:left="0"/>
        <w:jc w:val="left"/>
        <w:rPr>
          <w:color w:val="0000FF"/>
          <w:sz w:val="16"/>
          <w:szCs w:val="16"/>
          <w:u w:val="single"/>
          <w:lang w:val="de-CH"/>
        </w:rPr>
      </w:pPr>
      <w:hyperlink r:id="rId11" w:history="1">
        <w:r w:rsidR="00DE4F91" w:rsidRPr="00F33647">
          <w:rPr>
            <w:rStyle w:val="Hyperlink"/>
            <w:sz w:val="16"/>
            <w:szCs w:val="16"/>
            <w:lang w:val="de-CH"/>
          </w:rPr>
          <w:t>www.moeller-pr.de</w:t>
        </w:r>
      </w:hyperlink>
    </w:p>
    <w:p w14:paraId="7C27B930" w14:textId="77777777" w:rsidR="00DE4F91" w:rsidRDefault="00DE4F91" w:rsidP="00457A64">
      <w:pPr>
        <w:adjustRightInd w:val="0"/>
        <w:ind w:left="0"/>
        <w:jc w:val="left"/>
        <w:rPr>
          <w:b/>
          <w:bCs/>
          <w:color w:val="000000"/>
          <w:sz w:val="16"/>
          <w:szCs w:val="16"/>
        </w:rPr>
      </w:pPr>
    </w:p>
    <w:p w14:paraId="1AF857F5" w14:textId="77777777" w:rsidR="00DE4F91" w:rsidRDefault="00DE4F91" w:rsidP="00457A64">
      <w:pPr>
        <w:adjustRightInd w:val="0"/>
        <w:ind w:left="0"/>
        <w:jc w:val="left"/>
        <w:rPr>
          <w:b/>
          <w:bCs/>
          <w:color w:val="000000"/>
          <w:sz w:val="16"/>
          <w:szCs w:val="16"/>
        </w:rPr>
      </w:pPr>
    </w:p>
    <w:p w14:paraId="6A8D9197" w14:textId="77777777" w:rsidR="000B6C76" w:rsidRPr="004C0819" w:rsidRDefault="000B6C76" w:rsidP="000B6C76">
      <w:pPr>
        <w:adjustRightInd w:val="0"/>
        <w:ind w:left="0"/>
        <w:jc w:val="left"/>
        <w:rPr>
          <w:b/>
          <w:bCs/>
          <w:color w:val="000000"/>
          <w:sz w:val="16"/>
          <w:szCs w:val="16"/>
          <w:lang w:val="en-GB"/>
        </w:rPr>
      </w:pPr>
      <w:r w:rsidRPr="00060BA6">
        <w:rPr>
          <w:b/>
          <w:sz w:val="16"/>
          <w:lang w:val="en-US" w:bidi="en-US"/>
        </w:rPr>
        <w:t>About Meraxis Group</w:t>
      </w:r>
    </w:p>
    <w:p w14:paraId="54172EA9" w14:textId="77777777" w:rsidR="000B6C76" w:rsidRPr="004C0819" w:rsidRDefault="000B6C76" w:rsidP="000B6C76">
      <w:pPr>
        <w:adjustRightInd w:val="0"/>
        <w:ind w:left="0"/>
        <w:jc w:val="left"/>
        <w:rPr>
          <w:sz w:val="16"/>
          <w:szCs w:val="16"/>
          <w:lang w:val="en-GB"/>
        </w:rPr>
      </w:pPr>
      <w:r w:rsidRPr="00A451D2">
        <w:rPr>
          <w:sz w:val="16"/>
          <w:lang w:val="en-US" w:bidi="en-US"/>
        </w:rPr>
        <w:br/>
        <w:t>With a turnover of over 2 billion euros, Meraxis is one of the world’s leading plastics distributors. As a full-service provider with a global distribution and logistics netw</w:t>
      </w:r>
      <w:r>
        <w:rPr>
          <w:sz w:val="16"/>
          <w:lang w:val="en-US" w:bidi="en-US"/>
        </w:rPr>
        <w:t>ork, the globally active distributor</w:t>
      </w:r>
      <w:r w:rsidRPr="00A451D2">
        <w:rPr>
          <w:sz w:val="16"/>
          <w:lang w:val="en-US" w:bidi="en-US"/>
        </w:rPr>
        <w:t>, headquartered in Muri near Bern, Switzerland, provides its customers with targeted support in the s</w:t>
      </w:r>
      <w:r>
        <w:rPr>
          <w:sz w:val="16"/>
          <w:lang w:val="en-US" w:bidi="en-US"/>
        </w:rPr>
        <w:t>trategic procurement of plastics</w:t>
      </w:r>
      <w:r w:rsidRPr="00A451D2">
        <w:rPr>
          <w:sz w:val="16"/>
          <w:lang w:val="en-US" w:bidi="en-US"/>
        </w:rPr>
        <w:t xml:space="preserve">: Meraxis supplies companies from all industrial sectors with polymers and polymer-related products for a wide range of production processes - from the automotive industry to the construction sector and packaging companies. Meraxis combines a global partner and supplier network with many years of experience in the development and processing of high-quality polymers as well as in-depth material and product knowledge. </w:t>
      </w:r>
    </w:p>
    <w:p w14:paraId="1865FD50" w14:textId="77777777" w:rsidR="000B6C76" w:rsidRPr="004C0819" w:rsidRDefault="000B6C76" w:rsidP="000B6C76">
      <w:pPr>
        <w:adjustRightInd w:val="0"/>
        <w:ind w:left="0"/>
        <w:jc w:val="left"/>
        <w:rPr>
          <w:sz w:val="16"/>
          <w:szCs w:val="16"/>
          <w:lang w:val="en-GB"/>
        </w:rPr>
      </w:pPr>
    </w:p>
    <w:p w14:paraId="1BB39977" w14:textId="77777777" w:rsidR="000B6C76" w:rsidRPr="004C0819" w:rsidRDefault="000B6C76" w:rsidP="000B6C76">
      <w:pPr>
        <w:adjustRightInd w:val="0"/>
        <w:ind w:left="0"/>
        <w:jc w:val="left"/>
        <w:rPr>
          <w:sz w:val="16"/>
          <w:szCs w:val="16"/>
          <w:lang w:val="en-GB"/>
        </w:rPr>
      </w:pPr>
      <w:r w:rsidRPr="00A451D2">
        <w:rPr>
          <w:sz w:val="16"/>
          <w:lang w:val="en-US" w:bidi="en-US"/>
        </w:rPr>
        <w:t xml:space="preserve">The Group’s product portfolio includes standard plastics (including PE, PP, PET, PVC), engineering plastics, masterbatches (color granules) and </w:t>
      </w:r>
      <w:proofErr w:type="spellStart"/>
      <w:r w:rsidRPr="00A451D2">
        <w:rPr>
          <w:sz w:val="16"/>
          <w:lang w:val="en-US" w:bidi="en-US"/>
        </w:rPr>
        <w:t>recyclates</w:t>
      </w:r>
      <w:proofErr w:type="spellEnd"/>
      <w:r w:rsidRPr="00A451D2">
        <w:rPr>
          <w:sz w:val="16"/>
          <w:lang w:val="en-US" w:bidi="en-US"/>
        </w:rPr>
        <w:t xml:space="preserve">. In addition, the company offers specific products (including metal, films, injection molded parts), as well as machines, </w:t>
      </w:r>
      <w:proofErr w:type="gramStart"/>
      <w:r w:rsidRPr="00A451D2">
        <w:rPr>
          <w:sz w:val="16"/>
          <w:lang w:val="en-US" w:bidi="en-US"/>
        </w:rPr>
        <w:t>equipment</w:t>
      </w:r>
      <w:proofErr w:type="gramEnd"/>
      <w:r w:rsidRPr="00A451D2">
        <w:rPr>
          <w:sz w:val="16"/>
          <w:lang w:val="en-US" w:bidi="en-US"/>
        </w:rPr>
        <w:t xml:space="preserve"> and tools for various plastic processing techniques. </w:t>
      </w:r>
    </w:p>
    <w:p w14:paraId="541334EF" w14:textId="77777777" w:rsidR="000B6C76" w:rsidRPr="004C0819" w:rsidRDefault="000B6C76" w:rsidP="000B6C76">
      <w:pPr>
        <w:adjustRightInd w:val="0"/>
        <w:ind w:left="0"/>
        <w:jc w:val="left"/>
        <w:rPr>
          <w:sz w:val="16"/>
          <w:szCs w:val="16"/>
          <w:lang w:val="en-GB"/>
        </w:rPr>
      </w:pPr>
    </w:p>
    <w:p w14:paraId="7FE29255" w14:textId="77777777" w:rsidR="000B6C76" w:rsidRPr="004C0819" w:rsidRDefault="000B6C76" w:rsidP="000B6C76">
      <w:pPr>
        <w:adjustRightInd w:val="0"/>
        <w:ind w:left="0"/>
        <w:jc w:val="left"/>
        <w:rPr>
          <w:sz w:val="16"/>
          <w:szCs w:val="16"/>
          <w:lang w:val="en-GB"/>
        </w:rPr>
      </w:pPr>
      <w:r w:rsidRPr="00A451D2">
        <w:rPr>
          <w:sz w:val="16"/>
          <w:lang w:val="en-US" w:bidi="en-US"/>
        </w:rPr>
        <w:t xml:space="preserve">The full-service provider also works with its customers to develop solutions to promote the sustainable use of polymers and the circular economy. Meraxis sees itself as an active partner for digital transformation in the plastics industry. </w:t>
      </w:r>
    </w:p>
    <w:p w14:paraId="3214BB18" w14:textId="77777777" w:rsidR="000B6C76" w:rsidRPr="00DF4720" w:rsidRDefault="000B6C76" w:rsidP="000B6C76">
      <w:pPr>
        <w:adjustRightInd w:val="0"/>
        <w:ind w:left="0"/>
        <w:jc w:val="left"/>
        <w:rPr>
          <w:color w:val="000000"/>
          <w:sz w:val="16"/>
          <w:szCs w:val="16"/>
          <w:lang w:val="nb-NO"/>
        </w:rPr>
      </w:pPr>
    </w:p>
    <w:p w14:paraId="605A5711" w14:textId="77777777" w:rsidR="000B6C76" w:rsidRPr="00C6193D" w:rsidRDefault="000B6C76" w:rsidP="000B6C76">
      <w:pPr>
        <w:adjustRightInd w:val="0"/>
        <w:ind w:left="0"/>
        <w:jc w:val="left"/>
        <w:rPr>
          <w:rStyle w:val="Hyperlink"/>
          <w:sz w:val="16"/>
          <w:szCs w:val="16"/>
        </w:rPr>
      </w:pPr>
      <w:r w:rsidRPr="004B7488">
        <w:rPr>
          <w:sz w:val="16"/>
          <w:lang w:val="de-CH" w:bidi="en-US"/>
        </w:rPr>
        <w:t xml:space="preserve">Web: </w:t>
      </w:r>
      <w:hyperlink r:id="rId12" w:history="1">
        <w:r w:rsidRPr="004B7488">
          <w:rPr>
            <w:rStyle w:val="Hyperlink"/>
            <w:sz w:val="16"/>
            <w:lang w:val="de-CH" w:bidi="en-US"/>
          </w:rPr>
          <w:t>https://www.meraxis-group.com/</w:t>
        </w:r>
      </w:hyperlink>
    </w:p>
    <w:p w14:paraId="04CB0EBB" w14:textId="77777777" w:rsidR="000B6C76" w:rsidRPr="00C6193D" w:rsidRDefault="000B6C76" w:rsidP="000B6C76">
      <w:pPr>
        <w:adjustRightInd w:val="0"/>
        <w:ind w:left="0"/>
        <w:jc w:val="left"/>
        <w:rPr>
          <w:rStyle w:val="Hyperlink"/>
          <w:sz w:val="16"/>
          <w:szCs w:val="16"/>
        </w:rPr>
      </w:pPr>
      <w:r w:rsidRPr="004B7488">
        <w:rPr>
          <w:sz w:val="16"/>
          <w:lang w:val="de-CH" w:bidi="en-US"/>
        </w:rPr>
        <w:t xml:space="preserve">LinkedIn: </w:t>
      </w:r>
      <w:hyperlink r:id="rId13" w:history="1">
        <w:r w:rsidRPr="004B7488">
          <w:rPr>
            <w:rStyle w:val="Hyperlink"/>
            <w:sz w:val="16"/>
            <w:lang w:val="de-CH" w:bidi="en-US"/>
          </w:rPr>
          <w:t>https://www.linkedin.com/company/meraxis-group/</w:t>
        </w:r>
      </w:hyperlink>
    </w:p>
    <w:p w14:paraId="03DEB761" w14:textId="77777777" w:rsidR="00E84618" w:rsidRDefault="00E84618" w:rsidP="00457A64">
      <w:pPr>
        <w:ind w:left="0"/>
        <w:jc w:val="left"/>
      </w:pPr>
    </w:p>
    <w:sectPr w:rsidR="00E84618" w:rsidSect="00457A64">
      <w:headerReference w:type="default" r:id="rId14"/>
      <w:footerReference w:type="default" r:id="rId15"/>
      <w:headerReference w:type="first" r:id="rId16"/>
      <w:footerReference w:type="first" r:id="rId17"/>
      <w:pgSz w:w="11910" w:h="16840"/>
      <w:pgMar w:top="426" w:right="1420" w:bottom="142" w:left="1701" w:header="34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BCE1" w14:textId="77777777" w:rsidR="003B2352" w:rsidRDefault="003B2352" w:rsidP="007C33AB">
      <w:pPr>
        <w:spacing w:line="240" w:lineRule="auto"/>
      </w:pPr>
      <w:r>
        <w:separator/>
      </w:r>
    </w:p>
  </w:endnote>
  <w:endnote w:type="continuationSeparator" w:id="0">
    <w:p w14:paraId="7793FDD4" w14:textId="77777777" w:rsidR="003B2352" w:rsidRDefault="003B2352" w:rsidP="007C3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63C7" w14:textId="77777777" w:rsidR="009D04C8" w:rsidRPr="000B765B" w:rsidRDefault="009D04C8" w:rsidP="009D04C8">
    <w:pPr>
      <w:pStyle w:val="Fuzeile"/>
      <w:spacing w:line="240" w:lineRule="auto"/>
      <w:rPr>
        <w:rFonts w:asciiTheme="majorHAnsi" w:hAnsiTheme="majorHAnsi" w:cstheme="minorHAnsi"/>
        <w:sz w:val="16"/>
        <w:szCs w:val="16"/>
      </w:rPr>
    </w:pPr>
  </w:p>
  <w:p w14:paraId="526DB723" w14:textId="77777777" w:rsidR="009D04C8" w:rsidRPr="000B765B" w:rsidRDefault="009D04C8" w:rsidP="009D04C8">
    <w:pPr>
      <w:pStyle w:val="Fuzeile"/>
      <w:spacing w:line="240" w:lineRule="auto"/>
      <w:rPr>
        <w:rFonts w:asciiTheme="majorHAnsi" w:hAnsiTheme="majorHAnsi"/>
        <w:sz w:val="16"/>
        <w:szCs w:val="16"/>
      </w:rPr>
    </w:pPr>
  </w:p>
  <w:p w14:paraId="56179E7E" w14:textId="77777777" w:rsidR="009D04C8" w:rsidRPr="000B765B" w:rsidRDefault="009D04C8" w:rsidP="009D04C8">
    <w:pPr>
      <w:pStyle w:val="Fuzeile"/>
      <w:spacing w:line="240" w:lineRule="auto"/>
      <w:rPr>
        <w:rFonts w:asciiTheme="majorHAnsi" w:hAnsiTheme="majorHAnsi"/>
        <w:sz w:val="16"/>
        <w:szCs w:val="16"/>
      </w:rPr>
    </w:pPr>
  </w:p>
  <w:p w14:paraId="63282D60" w14:textId="77777777" w:rsidR="009D04C8" w:rsidRPr="000B765B" w:rsidRDefault="009D04C8" w:rsidP="009D04C8">
    <w:pPr>
      <w:pStyle w:val="Fuzeile"/>
      <w:spacing w:line="240" w:lineRule="auto"/>
      <w:rPr>
        <w:rFonts w:asciiTheme="majorHAnsi" w:hAnsiTheme="majorHAnsi"/>
        <w:sz w:val="16"/>
        <w:szCs w:val="16"/>
      </w:rPr>
    </w:pPr>
  </w:p>
  <w:p w14:paraId="1761A168" w14:textId="77777777" w:rsidR="009D04C8" w:rsidRPr="000B765B" w:rsidRDefault="009D04C8" w:rsidP="009D04C8">
    <w:pPr>
      <w:pStyle w:val="Fuzeile"/>
      <w:spacing w:line="240" w:lineRule="auto"/>
      <w:rPr>
        <w:rFonts w:asciiTheme="majorHAnsi" w:hAnsiTheme="majorHAnsi"/>
        <w:sz w:val="16"/>
        <w:szCs w:val="16"/>
      </w:rPr>
    </w:pPr>
  </w:p>
  <w:p w14:paraId="1779CAFB" w14:textId="77777777" w:rsidR="009D04C8" w:rsidRPr="000B765B" w:rsidRDefault="005536C6" w:rsidP="009D04C8">
    <w:pPr>
      <w:pStyle w:val="Fuzeile"/>
      <w:spacing w:line="240" w:lineRule="auto"/>
      <w:rPr>
        <w:rFonts w:asciiTheme="minorHAnsi" w:hAnsiTheme="minorHAnsi" w:cstheme="minorHAnsi"/>
        <w:noProof/>
        <w:szCs w:val="20"/>
      </w:rPr>
    </w:pPr>
    <w:r w:rsidRPr="000B765B">
      <w:rPr>
        <w:rFonts w:asciiTheme="majorHAnsi" w:hAnsiTheme="majorHAnsi"/>
        <w:noProof/>
        <w:sz w:val="16"/>
        <w:szCs w:val="16"/>
        <w:lang w:bidi="ar-SA"/>
      </w:rPr>
      <w:drawing>
        <wp:anchor distT="0" distB="0" distL="114300" distR="114300" simplePos="0" relativeHeight="251663360" behindDoc="1" locked="0" layoutInCell="1" allowOverlap="1" wp14:anchorId="4F194366" wp14:editId="173B76F9">
          <wp:simplePos x="0" y="0"/>
          <wp:positionH relativeFrom="page">
            <wp:posOffset>5465445</wp:posOffset>
          </wp:positionH>
          <wp:positionV relativeFrom="page">
            <wp:posOffset>10123971</wp:posOffset>
          </wp:positionV>
          <wp:extent cx="1673860" cy="111125"/>
          <wp:effectExtent l="0" t="0" r="2540" b="3175"/>
          <wp:wrapNone/>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R000_00_Claim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3860" cy="1111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ED1F" w14:textId="77777777" w:rsidR="009D04C8" w:rsidRPr="000B765B" w:rsidRDefault="00000000" w:rsidP="009D04C8">
    <w:pPr>
      <w:pStyle w:val="Textkrper"/>
      <w:tabs>
        <w:tab w:val="left" w:pos="3686"/>
        <w:tab w:val="left" w:pos="4298"/>
        <w:tab w:val="left" w:pos="7230"/>
      </w:tabs>
      <w:ind w:left="1022"/>
      <w:rPr>
        <w:rFonts w:asciiTheme="minorHAnsi" w:hAnsiTheme="minorHAnsi" w:cstheme="minorHAnsi"/>
        <w:sz w:val="20"/>
      </w:rPr>
    </w:pPr>
    <w:sdt>
      <w:sdtPr>
        <w:rPr>
          <w:rFonts w:asciiTheme="minorHAnsi" w:hAnsiTheme="minorHAnsi" w:cstheme="minorHAnsi"/>
          <w:sz w:val="20"/>
        </w:rPr>
        <w:id w:val="1016114802"/>
        <w:docPartObj>
          <w:docPartGallery w:val="Page Numbers (Top of Page)"/>
          <w:docPartUnique/>
        </w:docPartObj>
      </w:sdtPr>
      <w:sdtContent>
        <w:r w:rsidR="005536C6" w:rsidRPr="000B765B">
          <w:rPr>
            <w:rFonts w:asciiTheme="minorHAnsi" w:hAnsiTheme="minorHAnsi" w:cstheme="minorHAnsi"/>
            <w:sz w:val="20"/>
          </w:rPr>
          <w:t xml:space="preserve">Seite </w:t>
        </w:r>
        <w:r w:rsidR="005536C6" w:rsidRPr="000B765B">
          <w:rPr>
            <w:rFonts w:asciiTheme="minorHAnsi" w:hAnsiTheme="minorHAnsi" w:cstheme="minorHAnsi"/>
            <w:sz w:val="20"/>
          </w:rPr>
          <w:fldChar w:fldCharType="begin"/>
        </w:r>
        <w:r w:rsidR="005536C6" w:rsidRPr="000B765B">
          <w:rPr>
            <w:rFonts w:asciiTheme="minorHAnsi" w:hAnsiTheme="minorHAnsi" w:cstheme="minorHAnsi"/>
            <w:sz w:val="20"/>
          </w:rPr>
          <w:instrText>PAGE</w:instrText>
        </w:r>
        <w:r w:rsidR="005536C6" w:rsidRPr="000B765B">
          <w:rPr>
            <w:rFonts w:asciiTheme="minorHAnsi" w:hAnsiTheme="minorHAnsi" w:cstheme="minorHAnsi"/>
            <w:sz w:val="20"/>
          </w:rPr>
          <w:fldChar w:fldCharType="separate"/>
        </w:r>
        <w:r w:rsidR="005536C6" w:rsidRPr="000B765B">
          <w:rPr>
            <w:rFonts w:asciiTheme="minorHAnsi" w:hAnsiTheme="minorHAnsi" w:cstheme="minorHAnsi"/>
            <w:sz w:val="20"/>
          </w:rPr>
          <w:t>2</w:t>
        </w:r>
        <w:r w:rsidR="005536C6" w:rsidRPr="000B765B">
          <w:rPr>
            <w:rFonts w:asciiTheme="minorHAnsi" w:hAnsiTheme="minorHAnsi" w:cstheme="minorHAnsi"/>
            <w:sz w:val="20"/>
          </w:rPr>
          <w:fldChar w:fldCharType="end"/>
        </w:r>
        <w:r w:rsidR="005536C6" w:rsidRPr="000B765B">
          <w:rPr>
            <w:rFonts w:asciiTheme="minorHAnsi" w:hAnsiTheme="minorHAnsi" w:cstheme="minorHAnsi"/>
            <w:sz w:val="20"/>
          </w:rPr>
          <w:t>/</w:t>
        </w:r>
        <w:r w:rsidR="005536C6" w:rsidRPr="000B765B">
          <w:rPr>
            <w:rFonts w:asciiTheme="minorHAnsi" w:hAnsiTheme="minorHAnsi" w:cstheme="minorHAnsi"/>
            <w:sz w:val="20"/>
          </w:rPr>
          <w:fldChar w:fldCharType="begin"/>
        </w:r>
        <w:r w:rsidR="005536C6" w:rsidRPr="000B765B">
          <w:rPr>
            <w:rFonts w:asciiTheme="minorHAnsi" w:hAnsiTheme="minorHAnsi" w:cstheme="minorHAnsi"/>
            <w:sz w:val="20"/>
          </w:rPr>
          <w:instrText>NUMPAGES</w:instrText>
        </w:r>
        <w:r w:rsidR="005536C6" w:rsidRPr="000B765B">
          <w:rPr>
            <w:rFonts w:asciiTheme="minorHAnsi" w:hAnsiTheme="minorHAnsi" w:cstheme="minorHAnsi"/>
            <w:sz w:val="20"/>
          </w:rPr>
          <w:fldChar w:fldCharType="separate"/>
        </w:r>
        <w:r w:rsidR="005536C6">
          <w:rPr>
            <w:rFonts w:asciiTheme="minorHAnsi" w:hAnsiTheme="minorHAnsi" w:cstheme="minorHAnsi"/>
            <w:noProof/>
            <w:sz w:val="20"/>
          </w:rPr>
          <w:t>2</w:t>
        </w:r>
        <w:r w:rsidR="005536C6" w:rsidRPr="000B765B">
          <w:rPr>
            <w:rFonts w:asciiTheme="minorHAnsi" w:hAnsiTheme="minorHAnsi" w:cstheme="minorHAnsi"/>
            <w:sz w:val="20"/>
          </w:rPr>
          <w:fldChar w:fldCharType="end"/>
        </w:r>
      </w:sdtContent>
    </w:sdt>
  </w:p>
  <w:p w14:paraId="38478080" w14:textId="77777777" w:rsidR="009D04C8" w:rsidRPr="000B765B" w:rsidRDefault="009D04C8" w:rsidP="009D04C8">
    <w:pPr>
      <w:pStyle w:val="Textkrper"/>
      <w:tabs>
        <w:tab w:val="left" w:pos="3686"/>
        <w:tab w:val="left" w:pos="4298"/>
        <w:tab w:val="left" w:pos="7230"/>
      </w:tabs>
      <w:ind w:left="113"/>
      <w:rPr>
        <w:rFonts w:asciiTheme="majorHAnsi" w:hAnsiTheme="majorHAnsi"/>
        <w:szCs w:val="16"/>
      </w:rPr>
    </w:pPr>
  </w:p>
  <w:p w14:paraId="2A1977DB" w14:textId="77777777" w:rsidR="009D04C8" w:rsidRPr="000B765B" w:rsidRDefault="009D04C8" w:rsidP="009D04C8">
    <w:pPr>
      <w:pStyle w:val="Textkrper"/>
      <w:tabs>
        <w:tab w:val="left" w:pos="3686"/>
        <w:tab w:val="left" w:pos="4298"/>
        <w:tab w:val="left" w:pos="7230"/>
      </w:tabs>
      <w:ind w:left="113"/>
      <w:rPr>
        <w:rFonts w:asciiTheme="majorHAnsi" w:hAnsiTheme="majorHAnsi"/>
        <w:szCs w:val="16"/>
      </w:rPr>
    </w:pPr>
  </w:p>
  <w:p w14:paraId="2E17DFBB" w14:textId="77777777" w:rsidR="009D04C8" w:rsidRPr="000B765B" w:rsidRDefault="005536C6" w:rsidP="009D04C8">
    <w:pPr>
      <w:pStyle w:val="Textkrper"/>
      <w:tabs>
        <w:tab w:val="left" w:pos="3640"/>
        <w:tab w:val="left" w:pos="4298"/>
        <w:tab w:val="left" w:pos="7153"/>
      </w:tabs>
      <w:ind w:left="113"/>
      <w:rPr>
        <w:rFonts w:asciiTheme="majorHAnsi" w:hAnsiTheme="majorHAnsi"/>
        <w:szCs w:val="16"/>
      </w:rPr>
    </w:pPr>
    <w:r w:rsidRPr="000B765B">
      <w:rPr>
        <w:rFonts w:asciiTheme="majorHAnsi" w:hAnsiTheme="majorHAnsi"/>
        <w:noProof/>
        <w:szCs w:val="16"/>
        <w:lang w:bidi="ar-SA"/>
      </w:rPr>
      <mc:AlternateContent>
        <mc:Choice Requires="wps">
          <w:drawing>
            <wp:anchor distT="0" distB="0" distL="114300" distR="114300" simplePos="0" relativeHeight="251661312" behindDoc="0" locked="0" layoutInCell="1" allowOverlap="1" wp14:anchorId="0401C8A9" wp14:editId="537BB996">
              <wp:simplePos x="0" y="0"/>
              <wp:positionH relativeFrom="page">
                <wp:posOffset>0</wp:posOffset>
              </wp:positionH>
              <wp:positionV relativeFrom="page">
                <wp:posOffset>7560310</wp:posOffset>
              </wp:positionV>
              <wp:extent cx="186055" cy="0"/>
              <wp:effectExtent l="9525" t="6985" r="13970" b="1206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0"/>
                      </a:xfrm>
                      <a:prstGeom prst="line">
                        <a:avLst/>
                      </a:prstGeom>
                      <a:noFill/>
                      <a:ln w="3175">
                        <a:solidFill>
                          <a:srgbClr val="E741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2F41E024">
            <v:line id="Line 28"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e74147" strokeweight=".25pt" from="0,595.3pt" to="14.65pt,595.3pt" w14:anchorId="7C5B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">
              <w10:wrap anchorx="page" anchory="page"/>
            </v:line>
          </w:pict>
        </mc:Fallback>
      </mc:AlternateContent>
    </w:r>
    <w:r w:rsidRPr="000B765B">
      <w:rPr>
        <w:rFonts w:asciiTheme="majorHAnsi" w:hAnsiTheme="majorHAnsi"/>
        <w:szCs w:val="16"/>
      </w:rPr>
      <w:t>Handelsregister</w:t>
    </w:r>
    <w:r w:rsidRPr="000B765B">
      <w:rPr>
        <w:rFonts w:asciiTheme="majorHAnsi" w:hAnsiTheme="majorHAnsi"/>
        <w:szCs w:val="16"/>
      </w:rPr>
      <w:tab/>
      <w:t>Bankverbindung A</w:t>
    </w:r>
    <w:r w:rsidRPr="000B765B">
      <w:rPr>
        <w:rFonts w:asciiTheme="majorHAnsi" w:hAnsiTheme="majorHAnsi"/>
        <w:szCs w:val="16"/>
      </w:rPr>
      <w:tab/>
      <w:t>B</w:t>
    </w:r>
    <w:r w:rsidRPr="000B765B">
      <w:rPr>
        <w:rFonts w:asciiTheme="majorHAnsi" w:hAnsiTheme="majorHAnsi"/>
        <w:w w:val="105"/>
        <w:szCs w:val="16"/>
      </w:rPr>
      <w:t>ankverbindung B</w:t>
    </w:r>
  </w:p>
  <w:p w14:paraId="64EED43C" w14:textId="77777777" w:rsidR="009D04C8" w:rsidRPr="000B765B" w:rsidRDefault="005536C6" w:rsidP="009D04C8">
    <w:pPr>
      <w:pStyle w:val="Textkrper"/>
      <w:tabs>
        <w:tab w:val="left" w:pos="3640"/>
        <w:tab w:val="left" w:pos="4298"/>
        <w:tab w:val="left" w:pos="7153"/>
        <w:tab w:val="left" w:pos="7853"/>
      </w:tabs>
      <w:ind w:left="113"/>
      <w:rPr>
        <w:rFonts w:asciiTheme="majorHAnsi" w:hAnsiTheme="majorHAnsi"/>
        <w:szCs w:val="16"/>
      </w:rPr>
    </w:pPr>
    <w:r w:rsidRPr="000B765B">
      <w:rPr>
        <w:rFonts w:asciiTheme="majorHAnsi" w:hAnsiTheme="majorHAnsi"/>
        <w:szCs w:val="16"/>
      </w:rPr>
      <w:t>Amtsgericht HRB 1234</w:t>
    </w:r>
    <w:r w:rsidRPr="000B765B">
      <w:rPr>
        <w:rFonts w:asciiTheme="majorHAnsi" w:hAnsiTheme="majorHAnsi"/>
        <w:szCs w:val="16"/>
      </w:rPr>
      <w:tab/>
      <w:t>IBAN</w:t>
    </w:r>
    <w:r w:rsidRPr="000B765B">
      <w:rPr>
        <w:rFonts w:asciiTheme="majorHAnsi" w:hAnsiTheme="majorHAnsi"/>
        <w:szCs w:val="16"/>
      </w:rPr>
      <w:tab/>
    </w:r>
    <w:r w:rsidRPr="000B765B">
      <w:rPr>
        <w:rFonts w:asciiTheme="majorHAnsi" w:hAnsiTheme="majorHAnsi"/>
        <w:spacing w:val="2"/>
        <w:szCs w:val="16"/>
      </w:rPr>
      <w:t>DE001234</w:t>
    </w:r>
    <w:r w:rsidRPr="000B765B">
      <w:rPr>
        <w:rFonts w:asciiTheme="majorHAnsi" w:hAnsiTheme="majorHAnsi"/>
        <w:spacing w:val="-47"/>
        <w:szCs w:val="16"/>
      </w:rPr>
      <w:t xml:space="preserve"> </w:t>
    </w:r>
    <w:r w:rsidRPr="000B765B">
      <w:rPr>
        <w:rFonts w:asciiTheme="majorHAnsi" w:hAnsiTheme="majorHAnsi"/>
        <w:szCs w:val="16"/>
      </w:rPr>
      <w:t>5678</w:t>
    </w:r>
    <w:r w:rsidRPr="000B765B">
      <w:rPr>
        <w:rFonts w:asciiTheme="majorHAnsi" w:hAnsiTheme="majorHAnsi"/>
        <w:spacing w:val="-47"/>
        <w:szCs w:val="16"/>
      </w:rPr>
      <w:t xml:space="preserve"> </w:t>
    </w:r>
    <w:r w:rsidRPr="000B765B">
      <w:rPr>
        <w:rFonts w:asciiTheme="majorHAnsi" w:hAnsiTheme="majorHAnsi"/>
        <w:szCs w:val="16"/>
      </w:rPr>
      <w:t>1234</w:t>
    </w:r>
    <w:r w:rsidRPr="000B765B">
      <w:rPr>
        <w:rFonts w:asciiTheme="majorHAnsi" w:hAnsiTheme="majorHAnsi"/>
        <w:spacing w:val="-46"/>
        <w:szCs w:val="16"/>
      </w:rPr>
      <w:t xml:space="preserve"> </w:t>
    </w:r>
    <w:r w:rsidRPr="000B765B">
      <w:rPr>
        <w:rFonts w:asciiTheme="majorHAnsi" w:hAnsiTheme="majorHAnsi"/>
        <w:szCs w:val="16"/>
      </w:rPr>
      <w:t>5678</w:t>
    </w:r>
    <w:r w:rsidRPr="000B765B">
      <w:rPr>
        <w:rFonts w:asciiTheme="majorHAnsi" w:hAnsiTheme="majorHAnsi"/>
        <w:spacing w:val="-35"/>
        <w:szCs w:val="16"/>
      </w:rPr>
      <w:t xml:space="preserve"> </w:t>
    </w:r>
    <w:r w:rsidRPr="000B765B">
      <w:rPr>
        <w:rFonts w:asciiTheme="majorHAnsi" w:hAnsiTheme="majorHAnsi"/>
        <w:szCs w:val="16"/>
      </w:rPr>
      <w:t>00</w:t>
    </w:r>
    <w:r w:rsidRPr="000B765B">
      <w:rPr>
        <w:rFonts w:asciiTheme="majorHAnsi" w:hAnsiTheme="majorHAnsi"/>
        <w:szCs w:val="16"/>
      </w:rPr>
      <w:tab/>
      <w:t>IBAN</w:t>
    </w:r>
    <w:r w:rsidRPr="000B765B">
      <w:rPr>
        <w:rFonts w:asciiTheme="majorHAnsi" w:hAnsiTheme="majorHAnsi"/>
        <w:szCs w:val="16"/>
      </w:rPr>
      <w:tab/>
      <w:t>DE001234 5678 1234 5678 00</w:t>
    </w:r>
  </w:p>
  <w:p w14:paraId="3950F0B1" w14:textId="77777777" w:rsidR="009D04C8" w:rsidRPr="00594E08" w:rsidRDefault="005536C6" w:rsidP="009D04C8">
    <w:pPr>
      <w:pStyle w:val="Textkrper"/>
      <w:tabs>
        <w:tab w:val="left" w:pos="3640"/>
        <w:tab w:val="left" w:pos="4298"/>
        <w:tab w:val="left" w:pos="7153"/>
        <w:tab w:val="left" w:pos="7853"/>
      </w:tabs>
      <w:ind w:left="113"/>
      <w:rPr>
        <w:rFonts w:asciiTheme="majorHAnsi" w:hAnsiTheme="majorHAnsi"/>
        <w:szCs w:val="16"/>
        <w:lang w:val="en-US"/>
      </w:rPr>
    </w:pPr>
    <w:proofErr w:type="spellStart"/>
    <w:r w:rsidRPr="00594E08">
      <w:rPr>
        <w:rFonts w:asciiTheme="majorHAnsi" w:hAnsiTheme="majorHAnsi"/>
        <w:szCs w:val="16"/>
        <w:lang w:val="en-US"/>
      </w:rPr>
      <w:t>USt</w:t>
    </w:r>
    <w:proofErr w:type="spellEnd"/>
    <w:r w:rsidRPr="00594E08">
      <w:rPr>
        <w:rFonts w:asciiTheme="majorHAnsi" w:hAnsiTheme="majorHAnsi"/>
        <w:szCs w:val="16"/>
        <w:lang w:val="en-US"/>
      </w:rPr>
      <w:t>-ID DE 12345678</w:t>
    </w:r>
    <w:r w:rsidRPr="00594E08">
      <w:rPr>
        <w:rFonts w:asciiTheme="majorHAnsi" w:hAnsiTheme="majorHAnsi"/>
        <w:szCs w:val="16"/>
        <w:lang w:val="en-US"/>
      </w:rPr>
      <w:tab/>
      <w:t>BIC</w:t>
    </w:r>
    <w:r w:rsidRPr="00594E08">
      <w:rPr>
        <w:rFonts w:asciiTheme="majorHAnsi" w:hAnsiTheme="majorHAnsi"/>
        <w:szCs w:val="16"/>
        <w:lang w:val="en-US"/>
      </w:rPr>
      <w:tab/>
      <w:t>MERAXIS0000</w:t>
    </w:r>
    <w:r w:rsidRPr="00594E08">
      <w:rPr>
        <w:rFonts w:asciiTheme="majorHAnsi" w:hAnsiTheme="majorHAnsi"/>
        <w:szCs w:val="16"/>
        <w:lang w:val="en-US"/>
      </w:rPr>
      <w:tab/>
      <w:t>BIC</w:t>
    </w:r>
    <w:r w:rsidRPr="00594E08">
      <w:rPr>
        <w:rFonts w:asciiTheme="majorHAnsi" w:hAnsiTheme="majorHAnsi"/>
        <w:szCs w:val="16"/>
        <w:lang w:val="en-US"/>
      </w:rPr>
      <w:tab/>
      <w:t>MERAXIS0000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7024" w14:textId="77777777" w:rsidR="003B2352" w:rsidRDefault="003B2352" w:rsidP="007C33AB">
      <w:pPr>
        <w:spacing w:line="240" w:lineRule="auto"/>
      </w:pPr>
      <w:r>
        <w:separator/>
      </w:r>
    </w:p>
  </w:footnote>
  <w:footnote w:type="continuationSeparator" w:id="0">
    <w:p w14:paraId="44C0A458" w14:textId="77777777" w:rsidR="003B2352" w:rsidRDefault="003B2352" w:rsidP="007C3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CBD4" w14:textId="77777777" w:rsidR="009D04C8" w:rsidRPr="001C103B" w:rsidRDefault="005536C6" w:rsidP="009D04C8">
    <w:pPr>
      <w:tabs>
        <w:tab w:val="left" w:pos="8222"/>
      </w:tabs>
      <w:spacing w:before="81"/>
      <w:ind w:left="10080" w:right="499" w:hanging="9938"/>
      <w:rPr>
        <w:rFonts w:asciiTheme="majorHAnsi" w:hAnsiTheme="majorHAnsi"/>
        <w:sz w:val="16"/>
        <w:szCs w:val="16"/>
      </w:rPr>
    </w:pPr>
    <w:r w:rsidRPr="001C103B">
      <w:rPr>
        <w:rFonts w:asciiTheme="majorHAnsi" w:hAnsiTheme="majorHAnsi"/>
        <w:noProof/>
        <w:sz w:val="16"/>
        <w:szCs w:val="16"/>
        <w:lang w:bidi="ar-SA"/>
      </w:rPr>
      <w:drawing>
        <wp:anchor distT="0" distB="0" distL="114300" distR="114300" simplePos="0" relativeHeight="251660288" behindDoc="1" locked="0" layoutInCell="1" allowOverlap="1" wp14:anchorId="6A75E6E9" wp14:editId="48285A33">
          <wp:simplePos x="0" y="0"/>
          <wp:positionH relativeFrom="page">
            <wp:posOffset>431800</wp:posOffset>
          </wp:positionH>
          <wp:positionV relativeFrom="page">
            <wp:posOffset>414020</wp:posOffset>
          </wp:positionV>
          <wp:extent cx="2790000" cy="374400"/>
          <wp:effectExtent l="0" t="0" r="0" b="0"/>
          <wp:wrapNone/>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000_00_Logo_RGB.png"/>
                  <pic:cNvPicPr/>
                </pic:nvPicPr>
                <pic:blipFill>
                  <a:blip r:embed="rId1">
                    <a:extLst>
                      <a:ext uri="{28A0092B-C50C-407E-A947-70E740481C1C}">
                        <a14:useLocalDpi xmlns:a14="http://schemas.microsoft.com/office/drawing/2010/main" val="0"/>
                      </a:ext>
                    </a:extLst>
                  </a:blip>
                  <a:stretch>
                    <a:fillRect/>
                  </a:stretch>
                </pic:blipFill>
                <pic:spPr>
                  <a:xfrm>
                    <a:off x="0" y="0"/>
                    <a:ext cx="2790000" cy="374400"/>
                  </a:xfrm>
                  <a:prstGeom prst="rect">
                    <a:avLst/>
                  </a:prstGeom>
                </pic:spPr>
              </pic:pic>
            </a:graphicData>
          </a:graphic>
          <wp14:sizeRelH relativeFrom="margin">
            <wp14:pctWidth>0</wp14:pctWidth>
          </wp14:sizeRelH>
          <wp14:sizeRelV relativeFrom="margin">
            <wp14:pctHeight>0</wp14:pctHeight>
          </wp14:sizeRelV>
        </wp:anchor>
      </w:drawing>
    </w:r>
  </w:p>
  <w:p w14:paraId="7A0476E1" w14:textId="77777777" w:rsidR="009D04C8" w:rsidRPr="001C103B" w:rsidRDefault="009D04C8" w:rsidP="009D04C8">
    <w:pPr>
      <w:ind w:left="6251" w:right="-15"/>
      <w:rPr>
        <w:rFonts w:asciiTheme="majorHAnsi" w:hAnsiTheme="majorHAnsi"/>
        <w:color w:val="FFFFFF" w:themeColor="background1"/>
        <w:sz w:val="16"/>
      </w:rPr>
    </w:pPr>
  </w:p>
  <w:p w14:paraId="1851810A" w14:textId="77777777" w:rsidR="009D04C8" w:rsidRPr="001C103B" w:rsidRDefault="009D04C8" w:rsidP="009D04C8">
    <w:pPr>
      <w:ind w:left="6251" w:right="-15"/>
      <w:rPr>
        <w:rFonts w:asciiTheme="majorHAnsi" w:hAnsiTheme="majorHAnsi"/>
        <w:color w:val="FFFFFF" w:themeColor="background1"/>
        <w:sz w:val="16"/>
      </w:rPr>
    </w:pPr>
  </w:p>
  <w:p w14:paraId="09D0144F" w14:textId="77777777" w:rsidR="009D04C8" w:rsidRPr="001C103B" w:rsidRDefault="009D04C8" w:rsidP="009D04C8">
    <w:pPr>
      <w:ind w:left="6251" w:right="-15"/>
      <w:rPr>
        <w:rFonts w:asciiTheme="majorHAnsi" w:hAnsiTheme="majorHAnsi"/>
        <w:color w:val="FFFFFF" w:themeColor="background1"/>
        <w:sz w:val="16"/>
      </w:rPr>
    </w:pPr>
  </w:p>
  <w:p w14:paraId="0EA7CC9B" w14:textId="77777777" w:rsidR="009D04C8" w:rsidRPr="001C103B" w:rsidRDefault="009D04C8" w:rsidP="009D04C8">
    <w:pPr>
      <w:ind w:left="6251" w:right="-15"/>
      <w:rPr>
        <w:rFonts w:asciiTheme="majorHAnsi" w:hAnsiTheme="majorHAnsi"/>
        <w:color w:val="FFFFFF" w:themeColor="background1"/>
        <w:sz w:val="16"/>
      </w:rPr>
    </w:pPr>
  </w:p>
  <w:p w14:paraId="566108BC" w14:textId="77777777" w:rsidR="009D04C8" w:rsidRPr="001C103B" w:rsidRDefault="009D04C8" w:rsidP="009D04C8">
    <w:pPr>
      <w:ind w:left="6251" w:right="-15"/>
      <w:rPr>
        <w:rFonts w:asciiTheme="majorHAnsi" w:hAnsiTheme="majorHAnsi"/>
        <w:color w:val="FFFFFF" w:themeColor="background1"/>
        <w:sz w:val="16"/>
      </w:rPr>
    </w:pPr>
  </w:p>
  <w:p w14:paraId="6398F780" w14:textId="77777777" w:rsidR="009D04C8" w:rsidRPr="001C103B" w:rsidRDefault="009D04C8" w:rsidP="009D04C8">
    <w:pPr>
      <w:ind w:left="6251" w:right="-15"/>
      <w:rPr>
        <w:rFonts w:asciiTheme="majorHAnsi" w:hAnsiTheme="majorHAnsi"/>
        <w:color w:val="FFFFFF" w:themeColor="background1"/>
        <w:sz w:val="16"/>
      </w:rPr>
    </w:pPr>
  </w:p>
  <w:p w14:paraId="7E5BD638" w14:textId="77777777" w:rsidR="009D04C8" w:rsidRPr="00823346" w:rsidRDefault="009D04C8" w:rsidP="009D04C8">
    <w:pPr>
      <w:ind w:left="0" w:right="-15"/>
      <w:rPr>
        <w:rFonts w:ascii="Verdana"/>
        <w:color w:val="FFFFFF" w:themeColor="background1"/>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FFCF" w14:textId="77777777" w:rsidR="009D04C8" w:rsidRPr="007E3989" w:rsidRDefault="005536C6" w:rsidP="009D04C8">
    <w:pPr>
      <w:tabs>
        <w:tab w:val="left" w:pos="8364"/>
        <w:tab w:val="left" w:pos="8721"/>
      </w:tabs>
      <w:spacing w:before="81" w:line="240" w:lineRule="auto"/>
      <w:ind w:left="6251" w:right="499"/>
      <w:rPr>
        <w:rFonts w:asciiTheme="majorHAnsi" w:hAnsiTheme="majorHAnsi"/>
        <w:sz w:val="16"/>
      </w:rPr>
    </w:pPr>
    <w:r w:rsidRPr="007E3989">
      <w:rPr>
        <w:rFonts w:asciiTheme="majorHAnsi" w:hAnsiTheme="majorHAnsi"/>
        <w:noProof/>
        <w:lang w:bidi="ar-SA"/>
      </w:rPr>
      <w:drawing>
        <wp:anchor distT="0" distB="0" distL="114300" distR="114300" simplePos="0" relativeHeight="251659264" behindDoc="0" locked="1" layoutInCell="1" allowOverlap="1" wp14:anchorId="5F4FFCE8" wp14:editId="1AA630F1">
          <wp:simplePos x="0" y="0"/>
          <wp:positionH relativeFrom="page">
            <wp:posOffset>431800</wp:posOffset>
          </wp:positionH>
          <wp:positionV relativeFrom="page">
            <wp:posOffset>414020</wp:posOffset>
          </wp:positionV>
          <wp:extent cx="2790000" cy="374400"/>
          <wp:effectExtent l="0" t="0" r="0" b="0"/>
          <wp:wrapNone/>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R000_00_Logo_RGB.png"/>
                  <pic:cNvPicPr/>
                </pic:nvPicPr>
                <pic:blipFill>
                  <a:blip r:embed="rId1">
                    <a:extLst>
                      <a:ext uri="{28A0092B-C50C-407E-A947-70E740481C1C}">
                        <a14:useLocalDpi xmlns:a14="http://schemas.microsoft.com/office/drawing/2010/main" val="0"/>
                      </a:ext>
                    </a:extLst>
                  </a:blip>
                  <a:stretch>
                    <a:fillRect/>
                  </a:stretch>
                </pic:blipFill>
                <pic:spPr>
                  <a:xfrm>
                    <a:off x="0" y="0"/>
                    <a:ext cx="2790000" cy="374400"/>
                  </a:xfrm>
                  <a:prstGeom prst="rect">
                    <a:avLst/>
                  </a:prstGeom>
                </pic:spPr>
              </pic:pic>
            </a:graphicData>
          </a:graphic>
          <wp14:sizeRelH relativeFrom="margin">
            <wp14:pctWidth>0</wp14:pctWidth>
          </wp14:sizeRelH>
          <wp14:sizeRelV relativeFrom="margin">
            <wp14:pctHeight>0</wp14:pctHeight>
          </wp14:sizeRelV>
        </wp:anchor>
      </w:drawing>
    </w:r>
    <w:r w:rsidRPr="007E3989">
      <w:rPr>
        <w:rFonts w:asciiTheme="majorHAnsi" w:hAnsiTheme="majorHAnsi"/>
        <w:sz w:val="16"/>
      </w:rPr>
      <w:t>Meraxis AG</w:t>
    </w:r>
    <w:r w:rsidRPr="007E3989">
      <w:rPr>
        <w:rFonts w:asciiTheme="majorHAnsi" w:hAnsiTheme="majorHAnsi"/>
        <w:sz w:val="16"/>
      </w:rPr>
      <w:tab/>
      <w:t>Tel</w:t>
    </w:r>
    <w:r w:rsidRPr="007E3989">
      <w:rPr>
        <w:rFonts w:asciiTheme="majorHAnsi" w:hAnsiTheme="majorHAnsi"/>
        <w:sz w:val="16"/>
      </w:rPr>
      <w:tab/>
      <w:t>+41 123 4567-89</w:t>
    </w:r>
  </w:p>
  <w:p w14:paraId="3E9F67AA" w14:textId="77777777" w:rsidR="009D04C8" w:rsidRPr="007E3989" w:rsidRDefault="005536C6" w:rsidP="009D04C8">
    <w:pPr>
      <w:tabs>
        <w:tab w:val="left" w:pos="8364"/>
        <w:tab w:val="left" w:pos="8721"/>
      </w:tabs>
      <w:spacing w:line="240" w:lineRule="auto"/>
      <w:ind w:left="6251" w:right="499"/>
      <w:rPr>
        <w:rFonts w:asciiTheme="majorHAnsi" w:hAnsiTheme="majorHAnsi"/>
        <w:sz w:val="16"/>
      </w:rPr>
    </w:pPr>
    <w:proofErr w:type="spellStart"/>
    <w:r w:rsidRPr="007E3989">
      <w:rPr>
        <w:rFonts w:asciiTheme="majorHAnsi" w:hAnsiTheme="majorHAnsi"/>
        <w:sz w:val="16"/>
      </w:rPr>
      <w:t>Worbstraße</w:t>
    </w:r>
    <w:proofErr w:type="spellEnd"/>
    <w:r w:rsidRPr="007E3989">
      <w:rPr>
        <w:rFonts w:asciiTheme="majorHAnsi" w:hAnsiTheme="majorHAnsi"/>
        <w:sz w:val="16"/>
      </w:rPr>
      <w:t xml:space="preserve"> 50</w:t>
    </w:r>
    <w:r w:rsidRPr="007E3989">
      <w:rPr>
        <w:rFonts w:asciiTheme="majorHAnsi" w:hAnsiTheme="majorHAnsi"/>
        <w:sz w:val="16"/>
      </w:rPr>
      <w:tab/>
      <w:t>Fax</w:t>
    </w:r>
    <w:r w:rsidRPr="007E3989">
      <w:rPr>
        <w:rFonts w:asciiTheme="majorHAnsi" w:hAnsiTheme="majorHAnsi"/>
        <w:sz w:val="16"/>
      </w:rPr>
      <w:tab/>
      <w:t>+41 123 4567-89</w:t>
    </w:r>
  </w:p>
  <w:p w14:paraId="0458B8D5" w14:textId="77777777" w:rsidR="009D04C8" w:rsidRPr="007E3989" w:rsidRDefault="005536C6" w:rsidP="009D04C8">
    <w:pPr>
      <w:tabs>
        <w:tab w:val="left" w:pos="8364"/>
        <w:tab w:val="left" w:pos="8721"/>
      </w:tabs>
      <w:spacing w:line="240" w:lineRule="auto"/>
      <w:ind w:left="6251" w:right="-15"/>
      <w:rPr>
        <w:rFonts w:asciiTheme="majorHAnsi" w:hAnsiTheme="majorHAnsi"/>
        <w:sz w:val="16"/>
      </w:rPr>
    </w:pPr>
    <w:r w:rsidRPr="007E3989">
      <w:rPr>
        <w:rFonts w:asciiTheme="majorHAnsi" w:hAnsiTheme="majorHAnsi"/>
        <w:sz w:val="16"/>
      </w:rPr>
      <w:t>CH-3074 Muri b. Bern</w:t>
    </w:r>
    <w:r w:rsidRPr="007E3989">
      <w:rPr>
        <w:rFonts w:asciiTheme="majorHAnsi" w:hAnsiTheme="majorHAnsi"/>
        <w:sz w:val="16"/>
      </w:rPr>
      <w:tab/>
      <w:t>xx@meraxis-group.com</w:t>
    </w:r>
  </w:p>
  <w:p w14:paraId="5AB76F36" w14:textId="77777777" w:rsidR="009D04C8" w:rsidRPr="007E3989" w:rsidRDefault="005536C6" w:rsidP="009D04C8">
    <w:pPr>
      <w:tabs>
        <w:tab w:val="left" w:pos="8364"/>
        <w:tab w:val="left" w:pos="8721"/>
      </w:tabs>
      <w:spacing w:line="240" w:lineRule="auto"/>
      <w:ind w:left="6251" w:right="-15"/>
      <w:rPr>
        <w:rFonts w:asciiTheme="majorHAnsi" w:hAnsiTheme="majorHAnsi"/>
        <w:sz w:val="16"/>
      </w:rPr>
    </w:pPr>
    <w:proofErr w:type="spellStart"/>
    <w:r w:rsidRPr="007E3989">
      <w:rPr>
        <w:rFonts w:asciiTheme="majorHAnsi" w:hAnsiTheme="majorHAnsi"/>
        <w:sz w:val="16"/>
      </w:rPr>
      <w:t>Switzerland</w:t>
    </w:r>
    <w:proofErr w:type="spellEnd"/>
    <w:r w:rsidRPr="007E3989">
      <w:rPr>
        <w:rFonts w:asciiTheme="majorHAnsi" w:hAnsiTheme="majorHAnsi"/>
        <w:sz w:val="16"/>
      </w:rPr>
      <w:tab/>
      <w:t>meraxis-group.com</w:t>
    </w:r>
  </w:p>
  <w:p w14:paraId="4A324E6C" w14:textId="77777777" w:rsidR="009D04C8" w:rsidRPr="001C103B" w:rsidRDefault="009D04C8" w:rsidP="009D04C8">
    <w:pPr>
      <w:tabs>
        <w:tab w:val="left" w:pos="8364"/>
      </w:tabs>
      <w:ind w:left="6251" w:right="-15"/>
      <w:rPr>
        <w:rFonts w:asciiTheme="majorHAnsi" w:hAnsiTheme="majorHAnsi"/>
        <w:sz w:val="16"/>
      </w:rPr>
    </w:pPr>
  </w:p>
  <w:p w14:paraId="06F75CFB" w14:textId="77777777" w:rsidR="009D04C8" w:rsidRPr="001C103B" w:rsidRDefault="009D04C8" w:rsidP="009D04C8">
    <w:pPr>
      <w:tabs>
        <w:tab w:val="left" w:pos="8364"/>
      </w:tabs>
      <w:ind w:left="6251" w:right="-15"/>
      <w:rPr>
        <w:rFonts w:asciiTheme="majorHAnsi" w:hAnsiTheme="majorHAnsi"/>
        <w:sz w:val="16"/>
      </w:rPr>
    </w:pPr>
  </w:p>
  <w:p w14:paraId="5AB6B132" w14:textId="77777777" w:rsidR="009D04C8" w:rsidRPr="001C103B" w:rsidRDefault="009D04C8" w:rsidP="009D04C8">
    <w:pPr>
      <w:tabs>
        <w:tab w:val="left" w:pos="8364"/>
      </w:tabs>
      <w:ind w:left="6251" w:right="-15"/>
      <w:rPr>
        <w:rFonts w:asciiTheme="majorHAnsi" w:hAnsiTheme="majorHAnsi"/>
        <w:sz w:val="16"/>
      </w:rPr>
    </w:pPr>
  </w:p>
  <w:p w14:paraId="2DB8A4DB" w14:textId="77777777" w:rsidR="009D04C8" w:rsidRPr="001C103B" w:rsidRDefault="009D04C8" w:rsidP="009D04C8">
    <w:pPr>
      <w:tabs>
        <w:tab w:val="left" w:pos="8364"/>
      </w:tabs>
      <w:ind w:left="6251" w:right="-15"/>
      <w:rPr>
        <w:rFonts w:asciiTheme="majorHAnsi" w:hAnsiTheme="majorHAnsi"/>
        <w:sz w:val="16"/>
      </w:rPr>
    </w:pPr>
  </w:p>
  <w:p w14:paraId="1F99294C" w14:textId="77777777" w:rsidR="009D04C8" w:rsidRPr="001C103B" w:rsidRDefault="009D04C8" w:rsidP="009D04C8">
    <w:pPr>
      <w:tabs>
        <w:tab w:val="left" w:pos="8364"/>
      </w:tabs>
      <w:ind w:left="6251" w:right="-15"/>
      <w:rPr>
        <w:rFonts w:asciiTheme="majorHAnsi" w:hAnsiTheme="majorHAnsi"/>
        <w:sz w:val="16"/>
      </w:rPr>
    </w:pPr>
  </w:p>
  <w:p w14:paraId="51D203E0" w14:textId="77777777" w:rsidR="009D04C8" w:rsidRPr="001C103B" w:rsidRDefault="009D04C8" w:rsidP="009D04C8">
    <w:pPr>
      <w:tabs>
        <w:tab w:val="left" w:pos="8364"/>
      </w:tabs>
      <w:ind w:left="6251" w:right="-15"/>
      <w:rPr>
        <w:rFonts w:asciiTheme="majorHAnsi" w:hAnsiTheme="majorHAnsi"/>
        <w:sz w:val="16"/>
      </w:rPr>
    </w:pPr>
  </w:p>
  <w:p w14:paraId="00EB9C38" w14:textId="77777777" w:rsidR="009D04C8" w:rsidRPr="001C103B" w:rsidRDefault="005536C6">
    <w:pPr>
      <w:pStyle w:val="Kopfzeile"/>
      <w:rPr>
        <w:rFonts w:asciiTheme="majorHAnsi" w:hAnsiTheme="majorHAnsi"/>
      </w:rPr>
    </w:pPr>
    <w:r w:rsidRPr="001C103B">
      <w:rPr>
        <w:rFonts w:asciiTheme="majorHAnsi" w:hAnsiTheme="majorHAnsi"/>
        <w:noProof/>
        <w:lang w:bidi="ar-SA"/>
      </w:rPr>
      <mc:AlternateContent>
        <mc:Choice Requires="wpg">
          <w:drawing>
            <wp:anchor distT="0" distB="0" distL="114300" distR="114300" simplePos="0" relativeHeight="251662336" behindDoc="0" locked="0" layoutInCell="1" allowOverlap="1" wp14:anchorId="74B04D29" wp14:editId="2A8D2644">
              <wp:simplePos x="0" y="0"/>
              <wp:positionH relativeFrom="page">
                <wp:posOffset>180340</wp:posOffset>
              </wp:positionH>
              <wp:positionV relativeFrom="page">
                <wp:posOffset>3780790</wp:posOffset>
              </wp:positionV>
              <wp:extent cx="187200" cy="3780000"/>
              <wp:effectExtent l="0" t="0" r="22860" b="11430"/>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00" cy="3780000"/>
                        <a:chOff x="0" y="5954"/>
                        <a:chExt cx="295" cy="5952"/>
                      </a:xfrm>
                    </wpg:grpSpPr>
                    <wps:wsp>
                      <wps:cNvPr id="4" name="Line 7"/>
                      <wps:cNvCnPr>
                        <a:cxnSpLocks noChangeShapeType="1"/>
                      </wps:cNvCnPr>
                      <wps:spPr bwMode="auto">
                        <a:xfrm>
                          <a:off x="0" y="11906"/>
                          <a:ext cx="295" cy="0"/>
                        </a:xfrm>
                        <a:prstGeom prst="line">
                          <a:avLst/>
                        </a:prstGeom>
                        <a:noFill/>
                        <a:ln w="3175">
                          <a:solidFill>
                            <a:srgbClr val="E74147"/>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0" y="5954"/>
                          <a:ext cx="295" cy="0"/>
                        </a:xfrm>
                        <a:prstGeom prst="line">
                          <a:avLst/>
                        </a:prstGeom>
                        <a:noFill/>
                        <a:ln w="3175">
                          <a:solidFill>
                            <a:srgbClr val="E7414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24C6D6F">
            <v:group id="Group 29" style="position:absolute;margin-left:14.2pt;margin-top:297.7pt;width:14.75pt;height:297.65pt;z-index:251662336;mso-position-horizontal-relative:page;mso-position-vertical-relative:page" coordsize="295,5952" coordorigin=",5954" o:spid="_x0000_s1026" w14:anchorId="5792F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">
              <v:line id="Line 7" style="position:absolute;visibility:visible;mso-wrap-style:square" o:spid="_x0000_s1027" strokecolor="#e74147" strokeweight=".25pt" o:connectortype="straight" from="0,11906" to="295,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"/>
              <v:line id="Line 7" style="position:absolute;visibility:visible;mso-wrap-style:square" o:spid="_x0000_s1028" strokecolor="#e74147" strokeweight=".25pt" o:connectortype="straight" from="0,5954" to="29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"/>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18"/>
    <w:rsid w:val="000114CE"/>
    <w:rsid w:val="000269D6"/>
    <w:rsid w:val="00041C77"/>
    <w:rsid w:val="000455B6"/>
    <w:rsid w:val="000459DE"/>
    <w:rsid w:val="000643D5"/>
    <w:rsid w:val="00081580"/>
    <w:rsid w:val="000917D7"/>
    <w:rsid w:val="00095DB6"/>
    <w:rsid w:val="000A6F76"/>
    <w:rsid w:val="000B6C76"/>
    <w:rsid w:val="000C5150"/>
    <w:rsid w:val="000E7417"/>
    <w:rsid w:val="000F27BE"/>
    <w:rsid w:val="000F27D3"/>
    <w:rsid w:val="000F557C"/>
    <w:rsid w:val="001038AD"/>
    <w:rsid w:val="00131AFF"/>
    <w:rsid w:val="001432BB"/>
    <w:rsid w:val="00145416"/>
    <w:rsid w:val="00146A3F"/>
    <w:rsid w:val="0017190A"/>
    <w:rsid w:val="001733FA"/>
    <w:rsid w:val="0019545A"/>
    <w:rsid w:val="001A1984"/>
    <w:rsid w:val="001A7D62"/>
    <w:rsid w:val="001B0B7E"/>
    <w:rsid w:val="001C3C1B"/>
    <w:rsid w:val="001D42F8"/>
    <w:rsid w:val="001D5FAB"/>
    <w:rsid w:val="001D7388"/>
    <w:rsid w:val="0020581E"/>
    <w:rsid w:val="00214075"/>
    <w:rsid w:val="002328E7"/>
    <w:rsid w:val="00237261"/>
    <w:rsid w:val="0024349A"/>
    <w:rsid w:val="00260DBA"/>
    <w:rsid w:val="00261EDB"/>
    <w:rsid w:val="002930CD"/>
    <w:rsid w:val="002D6FE0"/>
    <w:rsid w:val="003006BF"/>
    <w:rsid w:val="003113BF"/>
    <w:rsid w:val="00316002"/>
    <w:rsid w:val="00320BD7"/>
    <w:rsid w:val="00322BA1"/>
    <w:rsid w:val="00323DE6"/>
    <w:rsid w:val="00326664"/>
    <w:rsid w:val="003266D5"/>
    <w:rsid w:val="00335056"/>
    <w:rsid w:val="00346128"/>
    <w:rsid w:val="00350290"/>
    <w:rsid w:val="003606C6"/>
    <w:rsid w:val="003714D4"/>
    <w:rsid w:val="00375549"/>
    <w:rsid w:val="00397C50"/>
    <w:rsid w:val="003B0698"/>
    <w:rsid w:val="003B2352"/>
    <w:rsid w:val="003D6714"/>
    <w:rsid w:val="003E6DE8"/>
    <w:rsid w:val="00406D73"/>
    <w:rsid w:val="004154D5"/>
    <w:rsid w:val="00415B58"/>
    <w:rsid w:val="00424F4F"/>
    <w:rsid w:val="004251B1"/>
    <w:rsid w:val="00427212"/>
    <w:rsid w:val="00431972"/>
    <w:rsid w:val="004536D0"/>
    <w:rsid w:val="00457A64"/>
    <w:rsid w:val="004632AF"/>
    <w:rsid w:val="004638A0"/>
    <w:rsid w:val="00475B0F"/>
    <w:rsid w:val="004B3DDF"/>
    <w:rsid w:val="004C4FB2"/>
    <w:rsid w:val="004E058E"/>
    <w:rsid w:val="004E59BC"/>
    <w:rsid w:val="005536C6"/>
    <w:rsid w:val="0055674A"/>
    <w:rsid w:val="00556B50"/>
    <w:rsid w:val="0056314C"/>
    <w:rsid w:val="005722EF"/>
    <w:rsid w:val="005834CD"/>
    <w:rsid w:val="005A1D52"/>
    <w:rsid w:val="005A3CB3"/>
    <w:rsid w:val="005A483C"/>
    <w:rsid w:val="005A6E3E"/>
    <w:rsid w:val="005B124D"/>
    <w:rsid w:val="005BA506"/>
    <w:rsid w:val="005F75D5"/>
    <w:rsid w:val="00613A82"/>
    <w:rsid w:val="006443FE"/>
    <w:rsid w:val="00656149"/>
    <w:rsid w:val="0069195F"/>
    <w:rsid w:val="00693C3B"/>
    <w:rsid w:val="00696E9D"/>
    <w:rsid w:val="006A149A"/>
    <w:rsid w:val="006B435A"/>
    <w:rsid w:val="006B7CAE"/>
    <w:rsid w:val="006C3FC6"/>
    <w:rsid w:val="006D74B2"/>
    <w:rsid w:val="006E03D9"/>
    <w:rsid w:val="00720611"/>
    <w:rsid w:val="00720B14"/>
    <w:rsid w:val="00730A2F"/>
    <w:rsid w:val="007355F1"/>
    <w:rsid w:val="00753A94"/>
    <w:rsid w:val="007710C8"/>
    <w:rsid w:val="0077432D"/>
    <w:rsid w:val="0078088F"/>
    <w:rsid w:val="007832AC"/>
    <w:rsid w:val="007B00DC"/>
    <w:rsid w:val="007C33AB"/>
    <w:rsid w:val="007D4DF6"/>
    <w:rsid w:val="007D69C9"/>
    <w:rsid w:val="00801CD1"/>
    <w:rsid w:val="00810A73"/>
    <w:rsid w:val="00816D4A"/>
    <w:rsid w:val="0083342C"/>
    <w:rsid w:val="008611D9"/>
    <w:rsid w:val="00875337"/>
    <w:rsid w:val="008B5DFF"/>
    <w:rsid w:val="008D1C89"/>
    <w:rsid w:val="008D2AD8"/>
    <w:rsid w:val="008D2DF9"/>
    <w:rsid w:val="008E0C8A"/>
    <w:rsid w:val="008E55DE"/>
    <w:rsid w:val="008F1E00"/>
    <w:rsid w:val="0090385A"/>
    <w:rsid w:val="00905D77"/>
    <w:rsid w:val="00913AE5"/>
    <w:rsid w:val="00923623"/>
    <w:rsid w:val="00923FAF"/>
    <w:rsid w:val="00927D60"/>
    <w:rsid w:val="00934081"/>
    <w:rsid w:val="00942FBE"/>
    <w:rsid w:val="00943704"/>
    <w:rsid w:val="009605A7"/>
    <w:rsid w:val="00962710"/>
    <w:rsid w:val="00967B86"/>
    <w:rsid w:val="009B1F8E"/>
    <w:rsid w:val="009B7B51"/>
    <w:rsid w:val="009C2F17"/>
    <w:rsid w:val="009C337A"/>
    <w:rsid w:val="009C372D"/>
    <w:rsid w:val="009C7AEA"/>
    <w:rsid w:val="009D04C8"/>
    <w:rsid w:val="009D681B"/>
    <w:rsid w:val="009E277C"/>
    <w:rsid w:val="009E3D05"/>
    <w:rsid w:val="00A14D11"/>
    <w:rsid w:val="00A343E4"/>
    <w:rsid w:val="00A469DC"/>
    <w:rsid w:val="00A60CD8"/>
    <w:rsid w:val="00A66C2C"/>
    <w:rsid w:val="00A67C4E"/>
    <w:rsid w:val="00A75BB0"/>
    <w:rsid w:val="00A924D7"/>
    <w:rsid w:val="00AA4E64"/>
    <w:rsid w:val="00AB5CB9"/>
    <w:rsid w:val="00AC2E3D"/>
    <w:rsid w:val="00AD282C"/>
    <w:rsid w:val="00B0733E"/>
    <w:rsid w:val="00B075F4"/>
    <w:rsid w:val="00B12DEA"/>
    <w:rsid w:val="00B34827"/>
    <w:rsid w:val="00B353E9"/>
    <w:rsid w:val="00B575DF"/>
    <w:rsid w:val="00B7133E"/>
    <w:rsid w:val="00B81D98"/>
    <w:rsid w:val="00B9273D"/>
    <w:rsid w:val="00B92C2C"/>
    <w:rsid w:val="00B932C7"/>
    <w:rsid w:val="00BA5103"/>
    <w:rsid w:val="00BC0A36"/>
    <w:rsid w:val="00BC1A2C"/>
    <w:rsid w:val="00BD5F14"/>
    <w:rsid w:val="00C01D7C"/>
    <w:rsid w:val="00C0623B"/>
    <w:rsid w:val="00C073D1"/>
    <w:rsid w:val="00C16BEE"/>
    <w:rsid w:val="00C16FE9"/>
    <w:rsid w:val="00C21783"/>
    <w:rsid w:val="00C21C18"/>
    <w:rsid w:val="00C52A3C"/>
    <w:rsid w:val="00C5437B"/>
    <w:rsid w:val="00C71D48"/>
    <w:rsid w:val="00C80A91"/>
    <w:rsid w:val="00C9126E"/>
    <w:rsid w:val="00CB09BE"/>
    <w:rsid w:val="00CB4098"/>
    <w:rsid w:val="00CB7ECD"/>
    <w:rsid w:val="00CE1512"/>
    <w:rsid w:val="00CF33FB"/>
    <w:rsid w:val="00D00ACD"/>
    <w:rsid w:val="00D2070E"/>
    <w:rsid w:val="00D27393"/>
    <w:rsid w:val="00D30EC2"/>
    <w:rsid w:val="00D32A0A"/>
    <w:rsid w:val="00D44F8D"/>
    <w:rsid w:val="00D60E1A"/>
    <w:rsid w:val="00D65ACF"/>
    <w:rsid w:val="00D83B4C"/>
    <w:rsid w:val="00D92F10"/>
    <w:rsid w:val="00DB46DD"/>
    <w:rsid w:val="00DB5576"/>
    <w:rsid w:val="00DC5087"/>
    <w:rsid w:val="00DD7CDC"/>
    <w:rsid w:val="00DE36C6"/>
    <w:rsid w:val="00DE4F91"/>
    <w:rsid w:val="00E22F27"/>
    <w:rsid w:val="00E23D36"/>
    <w:rsid w:val="00E430FB"/>
    <w:rsid w:val="00E47937"/>
    <w:rsid w:val="00E57A6B"/>
    <w:rsid w:val="00E84618"/>
    <w:rsid w:val="00E936AD"/>
    <w:rsid w:val="00EA00F6"/>
    <w:rsid w:val="00EB11E4"/>
    <w:rsid w:val="00EB7DE1"/>
    <w:rsid w:val="00F109DB"/>
    <w:rsid w:val="00F10EE9"/>
    <w:rsid w:val="00F26652"/>
    <w:rsid w:val="00F33062"/>
    <w:rsid w:val="00F431AE"/>
    <w:rsid w:val="00F47B6A"/>
    <w:rsid w:val="00F62A50"/>
    <w:rsid w:val="00F72B13"/>
    <w:rsid w:val="00F82616"/>
    <w:rsid w:val="00F9489A"/>
    <w:rsid w:val="00F95534"/>
    <w:rsid w:val="00F95701"/>
    <w:rsid w:val="00FA0A23"/>
    <w:rsid w:val="00FA1165"/>
    <w:rsid w:val="00FA683F"/>
    <w:rsid w:val="00FC038E"/>
    <w:rsid w:val="00FF18C8"/>
    <w:rsid w:val="00FF3B02"/>
    <w:rsid w:val="0E77FC41"/>
    <w:rsid w:val="16CDE2F4"/>
    <w:rsid w:val="1C3D671D"/>
    <w:rsid w:val="22647BA6"/>
    <w:rsid w:val="2368EBFC"/>
    <w:rsid w:val="23973EE9"/>
    <w:rsid w:val="2440B46E"/>
    <w:rsid w:val="2463051A"/>
    <w:rsid w:val="24D032B1"/>
    <w:rsid w:val="2611A1E9"/>
    <w:rsid w:val="26E6D334"/>
    <w:rsid w:val="2751BC61"/>
    <w:rsid w:val="28B6DAF9"/>
    <w:rsid w:val="2DBB17C4"/>
    <w:rsid w:val="33317DE7"/>
    <w:rsid w:val="36E44726"/>
    <w:rsid w:val="38D67549"/>
    <w:rsid w:val="39F81565"/>
    <w:rsid w:val="42532E02"/>
    <w:rsid w:val="48C81F94"/>
    <w:rsid w:val="4938C2A2"/>
    <w:rsid w:val="4D448F1B"/>
    <w:rsid w:val="4D7874EA"/>
    <w:rsid w:val="4D99A846"/>
    <w:rsid w:val="4F7DB1A6"/>
    <w:rsid w:val="4F852192"/>
    <w:rsid w:val="5078834F"/>
    <w:rsid w:val="548AC6EB"/>
    <w:rsid w:val="5C1DD1A6"/>
    <w:rsid w:val="62D0DFA7"/>
    <w:rsid w:val="63B17A2C"/>
    <w:rsid w:val="675E4301"/>
    <w:rsid w:val="6852044F"/>
    <w:rsid w:val="6D8A6A3B"/>
    <w:rsid w:val="737DD18A"/>
    <w:rsid w:val="7434CDB5"/>
    <w:rsid w:val="7C448FE6"/>
    <w:rsid w:val="7E7BB51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A355"/>
  <w15:chartTrackingRefBased/>
  <w15:docId w15:val="{A2BFFF86-CFA8-47F2-A763-01115D5D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4F91"/>
    <w:pPr>
      <w:widowControl w:val="0"/>
      <w:autoSpaceDE w:val="0"/>
      <w:autoSpaceDN w:val="0"/>
      <w:spacing w:after="0" w:line="312" w:lineRule="auto"/>
      <w:ind w:left="992"/>
      <w:jc w:val="both"/>
    </w:pPr>
    <w:rPr>
      <w:rFonts w:eastAsia="Arial"/>
      <w:szCs w:val="22"/>
      <w:lang w:eastAsia="de-DE" w:bidi="de-DE"/>
    </w:rPr>
  </w:style>
  <w:style w:type="paragraph" w:styleId="berschrift1">
    <w:name w:val="heading 1"/>
    <w:basedOn w:val="Standard"/>
    <w:next w:val="Standard"/>
    <w:link w:val="berschrift1Zchn"/>
    <w:qFormat/>
    <w:rsid w:val="00DE4F91"/>
    <w:pPr>
      <w:keepNext/>
      <w:widowControl/>
      <w:autoSpaceDE/>
      <w:autoSpaceDN/>
      <w:spacing w:before="240" w:after="60" w:line="240" w:lineRule="auto"/>
      <w:ind w:left="0"/>
      <w:jc w:val="left"/>
      <w:outlineLvl w:val="0"/>
    </w:pPr>
    <w:rPr>
      <w:rFonts w:ascii="Times New Roman" w:eastAsia="Times New Roman" w:hAnsi="Times New Roman"/>
      <w:b/>
      <w:bCs/>
      <w:kern w:val="32"/>
      <w:sz w:val="32"/>
      <w:szCs w:val="32"/>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4F91"/>
    <w:rPr>
      <w:rFonts w:ascii="Times New Roman" w:eastAsia="Times New Roman" w:hAnsi="Times New Roman"/>
      <w:b/>
      <w:bCs/>
      <w:kern w:val="32"/>
      <w:sz w:val="32"/>
      <w:szCs w:val="32"/>
      <w:lang w:eastAsia="de-DE"/>
    </w:rPr>
  </w:style>
  <w:style w:type="paragraph" w:styleId="Textkrper">
    <w:name w:val="Body Text"/>
    <w:basedOn w:val="Standard"/>
    <w:link w:val="TextkrperZchn"/>
    <w:uiPriority w:val="1"/>
    <w:qFormat/>
    <w:rsid w:val="00DE4F91"/>
    <w:pPr>
      <w:spacing w:line="240" w:lineRule="auto"/>
    </w:pPr>
    <w:rPr>
      <w:rFonts w:ascii="Gotham Book" w:hAnsi="Gotham Book"/>
      <w:sz w:val="16"/>
      <w:szCs w:val="20"/>
    </w:rPr>
  </w:style>
  <w:style w:type="character" w:customStyle="1" w:styleId="TextkrperZchn">
    <w:name w:val="Textkörper Zchn"/>
    <w:basedOn w:val="Absatz-Standardschriftart"/>
    <w:link w:val="Textkrper"/>
    <w:uiPriority w:val="1"/>
    <w:rsid w:val="00DE4F91"/>
    <w:rPr>
      <w:rFonts w:ascii="Gotham Book" w:eastAsia="Arial" w:hAnsi="Gotham Book"/>
      <w:sz w:val="16"/>
      <w:lang w:eastAsia="de-DE" w:bidi="de-DE"/>
    </w:rPr>
  </w:style>
  <w:style w:type="paragraph" w:styleId="Kopfzeile">
    <w:name w:val="header"/>
    <w:basedOn w:val="Standard"/>
    <w:link w:val="KopfzeileZchn"/>
    <w:uiPriority w:val="99"/>
    <w:unhideWhenUsed/>
    <w:rsid w:val="00DE4F91"/>
    <w:pPr>
      <w:tabs>
        <w:tab w:val="center" w:pos="4536"/>
        <w:tab w:val="right" w:pos="9072"/>
      </w:tabs>
    </w:pPr>
  </w:style>
  <w:style w:type="character" w:customStyle="1" w:styleId="KopfzeileZchn">
    <w:name w:val="Kopfzeile Zchn"/>
    <w:basedOn w:val="Absatz-Standardschriftart"/>
    <w:link w:val="Kopfzeile"/>
    <w:uiPriority w:val="99"/>
    <w:rsid w:val="00DE4F91"/>
    <w:rPr>
      <w:rFonts w:eastAsia="Arial"/>
      <w:szCs w:val="22"/>
      <w:lang w:eastAsia="de-DE" w:bidi="de-DE"/>
    </w:rPr>
  </w:style>
  <w:style w:type="paragraph" w:styleId="Fuzeile">
    <w:name w:val="footer"/>
    <w:basedOn w:val="Standard"/>
    <w:link w:val="FuzeileZchn"/>
    <w:uiPriority w:val="99"/>
    <w:unhideWhenUsed/>
    <w:rsid w:val="00DE4F91"/>
    <w:pPr>
      <w:tabs>
        <w:tab w:val="center" w:pos="4536"/>
        <w:tab w:val="right" w:pos="9072"/>
      </w:tabs>
    </w:pPr>
  </w:style>
  <w:style w:type="character" w:customStyle="1" w:styleId="FuzeileZchn">
    <w:name w:val="Fußzeile Zchn"/>
    <w:basedOn w:val="Absatz-Standardschriftart"/>
    <w:link w:val="Fuzeile"/>
    <w:uiPriority w:val="99"/>
    <w:rsid w:val="00DE4F91"/>
    <w:rPr>
      <w:rFonts w:eastAsia="Arial"/>
      <w:szCs w:val="22"/>
      <w:lang w:eastAsia="de-DE" w:bidi="de-DE"/>
    </w:rPr>
  </w:style>
  <w:style w:type="character" w:styleId="Hyperlink">
    <w:name w:val="Hyperlink"/>
    <w:rsid w:val="00DE4F91"/>
    <w:rPr>
      <w:color w:val="0000FF"/>
      <w:u w:val="single"/>
    </w:rPr>
  </w:style>
  <w:style w:type="character" w:styleId="Kommentarzeichen">
    <w:name w:val="annotation reference"/>
    <w:basedOn w:val="Absatz-Standardschriftart"/>
    <w:uiPriority w:val="99"/>
    <w:semiHidden/>
    <w:unhideWhenUsed/>
    <w:rsid w:val="00C073D1"/>
    <w:rPr>
      <w:sz w:val="16"/>
      <w:szCs w:val="16"/>
    </w:rPr>
  </w:style>
  <w:style w:type="paragraph" w:styleId="Kommentartext">
    <w:name w:val="annotation text"/>
    <w:basedOn w:val="Standard"/>
    <w:link w:val="KommentartextZchn"/>
    <w:uiPriority w:val="99"/>
    <w:unhideWhenUsed/>
    <w:rsid w:val="00C073D1"/>
    <w:pPr>
      <w:spacing w:line="240" w:lineRule="auto"/>
    </w:pPr>
    <w:rPr>
      <w:szCs w:val="20"/>
    </w:rPr>
  </w:style>
  <w:style w:type="character" w:customStyle="1" w:styleId="KommentartextZchn">
    <w:name w:val="Kommentartext Zchn"/>
    <w:basedOn w:val="Absatz-Standardschriftart"/>
    <w:link w:val="Kommentartext"/>
    <w:uiPriority w:val="99"/>
    <w:rsid w:val="00C073D1"/>
    <w:rPr>
      <w:rFonts w:eastAsia="Arial"/>
      <w:lang w:eastAsia="de-DE" w:bidi="de-DE"/>
    </w:rPr>
  </w:style>
  <w:style w:type="paragraph" w:styleId="Kommentarthema">
    <w:name w:val="annotation subject"/>
    <w:basedOn w:val="Kommentartext"/>
    <w:next w:val="Kommentartext"/>
    <w:link w:val="KommentarthemaZchn"/>
    <w:uiPriority w:val="99"/>
    <w:semiHidden/>
    <w:unhideWhenUsed/>
    <w:rsid w:val="00C073D1"/>
    <w:rPr>
      <w:b/>
      <w:bCs/>
    </w:rPr>
  </w:style>
  <w:style w:type="character" w:customStyle="1" w:styleId="KommentarthemaZchn">
    <w:name w:val="Kommentarthema Zchn"/>
    <w:basedOn w:val="KommentartextZchn"/>
    <w:link w:val="Kommentarthema"/>
    <w:uiPriority w:val="99"/>
    <w:semiHidden/>
    <w:rsid w:val="00C073D1"/>
    <w:rPr>
      <w:rFonts w:eastAsia="Arial"/>
      <w:b/>
      <w:bCs/>
      <w:lang w:eastAsia="de-DE" w:bidi="de-DE"/>
    </w:rPr>
  </w:style>
  <w:style w:type="paragraph" w:styleId="Sprechblasentext">
    <w:name w:val="Balloon Text"/>
    <w:basedOn w:val="Standard"/>
    <w:link w:val="SprechblasentextZchn"/>
    <w:uiPriority w:val="99"/>
    <w:semiHidden/>
    <w:unhideWhenUsed/>
    <w:rsid w:val="00C073D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73D1"/>
    <w:rPr>
      <w:rFonts w:ascii="Segoe UI" w:eastAsia="Arial" w:hAnsi="Segoe UI" w:cs="Segoe UI"/>
      <w:sz w:val="18"/>
      <w:szCs w:val="18"/>
      <w:lang w:eastAsia="de-DE" w:bidi="de-DE"/>
    </w:rPr>
  </w:style>
  <w:style w:type="paragraph" w:customStyle="1" w:styleId="opener">
    <w:name w:val="opener"/>
    <w:basedOn w:val="Standard"/>
    <w:rsid w:val="00E57A6B"/>
    <w:pPr>
      <w:widowControl/>
      <w:autoSpaceDE/>
      <w:autoSpaceDN/>
      <w:spacing w:before="100" w:beforeAutospacing="1" w:after="100" w:afterAutospacing="1" w:line="240" w:lineRule="auto"/>
      <w:ind w:left="0"/>
      <w:jc w:val="left"/>
    </w:pPr>
    <w:rPr>
      <w:rFonts w:ascii="Times New Roman" w:eastAsia="Times New Roman" w:hAnsi="Times New Roman" w:cs="Times New Roman"/>
      <w:sz w:val="24"/>
      <w:szCs w:val="24"/>
      <w:lang w:bidi="ar-SA"/>
    </w:rPr>
  </w:style>
  <w:style w:type="paragraph" w:styleId="StandardWeb">
    <w:name w:val="Normal (Web)"/>
    <w:basedOn w:val="Standard"/>
    <w:uiPriority w:val="99"/>
    <w:unhideWhenUsed/>
    <w:rsid w:val="00E57A6B"/>
    <w:pPr>
      <w:widowControl/>
      <w:autoSpaceDE/>
      <w:autoSpaceDN/>
      <w:spacing w:before="100" w:beforeAutospacing="1" w:after="100" w:afterAutospacing="1" w:line="240" w:lineRule="auto"/>
      <w:ind w:left="0"/>
      <w:jc w:val="left"/>
    </w:pPr>
    <w:rPr>
      <w:rFonts w:ascii="Times New Roman" w:eastAsia="Times New Roman" w:hAnsi="Times New Roman" w:cs="Times New Roman"/>
      <w:sz w:val="24"/>
      <w:szCs w:val="24"/>
      <w:lang w:bidi="ar-SA"/>
    </w:rPr>
  </w:style>
  <w:style w:type="paragraph" w:styleId="berarbeitung">
    <w:name w:val="Revision"/>
    <w:hidden/>
    <w:uiPriority w:val="99"/>
    <w:semiHidden/>
    <w:rsid w:val="00FF3B02"/>
    <w:pPr>
      <w:spacing w:after="0" w:line="240" w:lineRule="auto"/>
    </w:pPr>
    <w:rPr>
      <w:rFonts w:eastAsia="Arial"/>
      <w:szCs w:val="22"/>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71018">
      <w:bodyDiv w:val="1"/>
      <w:marLeft w:val="0"/>
      <w:marRight w:val="0"/>
      <w:marTop w:val="0"/>
      <w:marBottom w:val="0"/>
      <w:divBdr>
        <w:top w:val="none" w:sz="0" w:space="0" w:color="auto"/>
        <w:left w:val="none" w:sz="0" w:space="0" w:color="auto"/>
        <w:bottom w:val="none" w:sz="0" w:space="0" w:color="auto"/>
        <w:right w:val="none" w:sz="0" w:space="0" w:color="auto"/>
      </w:divBdr>
    </w:div>
    <w:div w:id="15124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meraxis-grou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raxis-grou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eller-pr.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h@moeller-pr.d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ef396d-9a57-421d-836e-cc6983ad6b11" xsi:nil="true"/>
    <lcf76f155ced4ddcb4097134ff3c332f xmlns="f352a51f-8707-42d1-ad4b-cb4b5c7c1c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36961CABF3EF488E16F8A61F97052F" ma:contentTypeVersion="10" ma:contentTypeDescription="Ein neues Dokument erstellen." ma:contentTypeScope="" ma:versionID="3513b5340cb8cb2b3b9b82fce4d31c4f">
  <xsd:schema xmlns:xsd="http://www.w3.org/2001/XMLSchema" xmlns:xs="http://www.w3.org/2001/XMLSchema" xmlns:p="http://schemas.microsoft.com/office/2006/metadata/properties" xmlns:ns2="f352a51f-8707-42d1-ad4b-cb4b5c7c1c75" xmlns:ns3="64ef396d-9a57-421d-836e-cc6983ad6b11" targetNamespace="http://schemas.microsoft.com/office/2006/metadata/properties" ma:root="true" ma:fieldsID="5fdbb16d85b1eda693cdfd029316b24d" ns2:_="" ns3:_="">
    <xsd:import namespace="f352a51f-8707-42d1-ad4b-cb4b5c7c1c75"/>
    <xsd:import namespace="64ef396d-9a57-421d-836e-cc6983ad6b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2a51f-8707-42d1-ad4b-cb4b5c7c1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ef396d-9a57-421d-836e-cc6983ad6b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494a99-3a84-46e9-bcfa-e304e04ee0e4}" ma:internalName="TaxCatchAll" ma:showField="CatchAllData" ma:web="64ef396d-9a57-421d-836e-cc6983ad6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B6C7C-A4B5-4724-94B7-46389C2593FC}">
  <ds:schemaRefs>
    <ds:schemaRef ds:uri="http://schemas.microsoft.com/office/2006/metadata/properties"/>
    <ds:schemaRef ds:uri="http://schemas.microsoft.com/office/infopath/2007/PartnerControls"/>
    <ds:schemaRef ds:uri="efb2a5c0-845a-4cd4-8603-40a9dee717a1"/>
    <ds:schemaRef ds:uri="62eab697-b8e8-4101-a25e-8fd32f238627"/>
  </ds:schemaRefs>
</ds:datastoreItem>
</file>

<file path=customXml/itemProps2.xml><?xml version="1.0" encoding="utf-8"?>
<ds:datastoreItem xmlns:ds="http://schemas.openxmlformats.org/officeDocument/2006/customXml" ds:itemID="{E73C5449-F0A5-4363-B8CD-9F5BBE18CEE0}">
  <ds:schemaRefs>
    <ds:schemaRef ds:uri="http://schemas.openxmlformats.org/officeDocument/2006/bibliography"/>
  </ds:schemaRefs>
</ds:datastoreItem>
</file>

<file path=customXml/itemProps3.xml><?xml version="1.0" encoding="utf-8"?>
<ds:datastoreItem xmlns:ds="http://schemas.openxmlformats.org/officeDocument/2006/customXml" ds:itemID="{78469EE0-68C1-4766-95E2-5B5032683D43}">
  <ds:schemaRefs>
    <ds:schemaRef ds:uri="http://schemas.microsoft.com/sharepoint/v3/contenttype/forms"/>
  </ds:schemaRefs>
</ds:datastoreItem>
</file>

<file path=customXml/itemProps4.xml><?xml version="1.0" encoding="utf-8"?>
<ds:datastoreItem xmlns:ds="http://schemas.openxmlformats.org/officeDocument/2006/customXml" ds:itemID="{B6E759DA-6C4D-49EE-B735-18A04CDF8FB4}"/>
</file>

<file path=docMetadata/LabelInfo.xml><?xml version="1.0" encoding="utf-8"?>
<clbl:labelList xmlns:clbl="http://schemas.microsoft.com/office/2020/mipLabelMetadata">
  <clbl:label id="{8015e684-befa-475d-802b-fd235c2bdf91}" enabled="0" method="" siteId="{8015e684-befa-475d-802b-fd235c2bdf9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3743</Characters>
  <Application>Microsoft Office Word</Application>
  <DocSecurity>0</DocSecurity>
  <Lines>31</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Renneberg</dc:creator>
  <cp:keywords/>
  <dc:description/>
  <cp:lastModifiedBy>Katharina Hoera, M muri 3107, BCOM</cp:lastModifiedBy>
  <cp:revision>45</cp:revision>
  <cp:lastPrinted>2023-04-03T11:01:00Z</cp:lastPrinted>
  <dcterms:created xsi:type="dcterms:W3CDTF">2023-03-24T14:12:00Z</dcterms:created>
  <dcterms:modified xsi:type="dcterms:W3CDTF">2023-04-03T11:01:00Z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67028836694b24e32b57ab6bb164eb98e0bcdaf9daf7599caae3d0a409413254</vt:lpwstr>
  </property>
  <property fmtid="{D5CDD505-2E9C-101B-9397-08002B2CF9AE}" pid="3" name="ContentTypeId">
    <vt:lpwstr>0x0101005727B7AABB9B3B49876C008FC3AC6BF3</vt:lpwstr>
  </property>
  <property fmtid="{D5CDD505-2E9C-101B-9397-08002B2CF9AE}" pid="4" name="MediaServiceImageTags">
    <vt:lpwstr/>
  </property>
</Properties>
</file>