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FC4F1" w14:textId="553201A9" w:rsidR="00DB3546" w:rsidRPr="004C1A46" w:rsidRDefault="00515A1E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1FDBD" wp14:editId="316B286B">
                <wp:simplePos x="0" y="0"/>
                <wp:positionH relativeFrom="column">
                  <wp:posOffset>-636270</wp:posOffset>
                </wp:positionH>
                <wp:positionV relativeFrom="paragraph">
                  <wp:posOffset>-321310</wp:posOffset>
                </wp:positionV>
                <wp:extent cx="2934335" cy="5029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3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0705" w14:textId="77777777" w:rsidR="00DB3546" w:rsidRPr="00DF0FD8" w:rsidRDefault="00DB3546" w:rsidP="00DB3546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 w:rsidRPr="00DF0FD8"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DF0FD8"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9E1F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1pt;margin-top:-25.3pt;width:231.0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" filled="f" stroked="f">
                <v:textbox>
                  <w:txbxContent>
                    <w:p w14:paraId="41480705" w14:textId="77777777" w:rsidR="00DB3546" w:rsidRPr="00DF0FD8" w:rsidRDefault="00DB3546" w:rsidP="00DB3546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 w:rsidRPr="00DF0FD8"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 w:rsidRPr="00DF0FD8"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30A34" w14:textId="7679BF1E" w:rsidR="00DB3546" w:rsidRPr="004C1A46" w:rsidRDefault="00826DDC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 w:rsidRPr="004C1A46">
        <w:rPr>
          <w:noProof/>
        </w:rPr>
        <w:drawing>
          <wp:anchor distT="0" distB="0" distL="114300" distR="114300" simplePos="0" relativeHeight="251659264" behindDoc="0" locked="0" layoutInCell="1" allowOverlap="1" wp14:anchorId="60038A23" wp14:editId="54A9D779">
            <wp:simplePos x="0" y="0"/>
            <wp:positionH relativeFrom="column">
              <wp:posOffset>4487545</wp:posOffset>
            </wp:positionH>
            <wp:positionV relativeFrom="paragraph">
              <wp:posOffset>259715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32E6E1E" wp14:editId="28623882">
                <wp:simplePos x="0" y="0"/>
                <wp:positionH relativeFrom="column">
                  <wp:posOffset>-586422</wp:posOffset>
                </wp:positionH>
                <wp:positionV relativeFrom="paragraph">
                  <wp:posOffset>203200</wp:posOffset>
                </wp:positionV>
                <wp:extent cx="6821170" cy="0"/>
                <wp:effectExtent l="57150" t="57150" r="74930" b="11430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00EDCCB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15pt,16pt" to="49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" strokecolor="#7f7f7f [1612]" strokeweight=".5pt">
                <v:shadow on="t" color="black" opacity="24903f" origin=",.5" offset="0,.55556mm"/>
              </v:line>
            </w:pict>
          </mc:Fallback>
        </mc:AlternateContent>
      </w:r>
      <w:r w:rsidR="00C154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3DC2A" wp14:editId="37A5C9FA">
                <wp:simplePos x="0" y="0"/>
                <wp:positionH relativeFrom="column">
                  <wp:posOffset>-522605</wp:posOffset>
                </wp:positionH>
                <wp:positionV relativeFrom="paragraph">
                  <wp:posOffset>278765</wp:posOffset>
                </wp:positionV>
                <wp:extent cx="1257300" cy="680720"/>
                <wp:effectExtent l="0" t="0" r="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9C74B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EBF3367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6823E83B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44911C44" w14:textId="77777777" w:rsidR="00C15487" w:rsidRDefault="00C15487" w:rsidP="00C15487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0DF627B6" w14:textId="77777777" w:rsidR="00C15487" w:rsidRDefault="00C15487" w:rsidP="00C15487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223DC2A" id="Text Box 3" o:spid="_x0000_s1027" type="#_x0000_t202" style="position:absolute;left:0;text-align:left;margin-left:-41.15pt;margin-top:21.95pt;width:9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" filled="f" stroked="f">
                <v:textbox>
                  <w:txbxContent>
                    <w:p w14:paraId="15D9C74B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EBF3367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6823E83B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44911C44" w14:textId="77777777" w:rsidR="00C15487" w:rsidRDefault="00C15487" w:rsidP="00C15487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0DF627B6" w14:textId="77777777" w:rsidR="00C15487" w:rsidRDefault="00C15487" w:rsidP="00C15487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B1D4B" w14:textId="4C75D964" w:rsidR="00DB3546" w:rsidRPr="004C1A46" w:rsidRDefault="00DB3546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</w:p>
    <w:p w14:paraId="28C55862" w14:textId="435A3FE1" w:rsidR="00515A1E" w:rsidRDefault="00515A1E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 Bold"/>
          <w:color w:val="999999"/>
          <w:sz w:val="20"/>
          <w:szCs w:val="20"/>
        </w:rPr>
      </w:pPr>
    </w:p>
    <w:p w14:paraId="78518090" w14:textId="77777777" w:rsidR="00C15487" w:rsidRDefault="00C15487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 Bold"/>
          <w:color w:val="999999"/>
          <w:sz w:val="20"/>
          <w:szCs w:val="20"/>
        </w:rPr>
      </w:pPr>
    </w:p>
    <w:p w14:paraId="6BEFAD1F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client: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Keystone Folding Box Co.</w:t>
      </w:r>
    </w:p>
    <w:p w14:paraId="64D16729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 w:line="264" w:lineRule="auto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contact: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  <w:t xml:space="preserve">Turchette </w:t>
      </w:r>
      <w:r>
        <w:rPr>
          <w:rFonts w:ascii="Verdana" w:hAnsi="Verdana" w:cs="Verdana"/>
          <w:color w:val="000000"/>
          <w:sz w:val="20"/>
          <w:szCs w:val="20"/>
        </w:rPr>
        <w:t>Agency</w:t>
      </w:r>
    </w:p>
    <w:p w14:paraId="506F751F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Christopher Dale</w:t>
      </w:r>
    </w:p>
    <w:p w14:paraId="5EED0F4F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(973) 227-8080, ext. 116</w:t>
      </w:r>
    </w:p>
    <w:p w14:paraId="47713CDD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hyperlink r:id="rId7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cdale@turchette.com</w:t>
        </w:r>
      </w:hyperlink>
      <w:r w:rsidRPr="00E477B6">
        <w:rPr>
          <w:rFonts w:ascii="Verdana" w:hAnsi="Verdana" w:cs="Verdana"/>
          <w:color w:val="000000"/>
          <w:sz w:val="20"/>
          <w:szCs w:val="20"/>
        </w:rPr>
        <w:tab/>
      </w:r>
    </w:p>
    <w:p w14:paraId="5E38CB17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 w:line="264" w:lineRule="auto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Ward Smith</w:t>
      </w:r>
    </w:p>
    <w:p w14:paraId="43D42545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ab/>
      </w:r>
      <w:r w:rsidRPr="00E477B6">
        <w:rPr>
          <w:rFonts w:ascii="Verdana" w:hAnsi="Verdana" w:cs="Verdana"/>
          <w:sz w:val="20"/>
          <w:szCs w:val="20"/>
        </w:rPr>
        <w:t>Keystone Folding Box</w:t>
      </w:r>
    </w:p>
    <w:p w14:paraId="3CA6A1D5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(</w:t>
      </w:r>
      <w:r w:rsidRPr="00E477B6">
        <w:rPr>
          <w:rFonts w:ascii="Verdana" w:hAnsi="Verdana" w:cs="Verdana"/>
          <w:sz w:val="20"/>
          <w:szCs w:val="20"/>
        </w:rPr>
        <w:t>513</w:t>
      </w:r>
      <w:r>
        <w:rPr>
          <w:rFonts w:ascii="Verdana" w:hAnsi="Verdana" w:cs="Verdana"/>
          <w:sz w:val="20"/>
          <w:szCs w:val="20"/>
        </w:rPr>
        <w:t xml:space="preserve">) </w:t>
      </w:r>
      <w:r w:rsidRPr="00E477B6">
        <w:rPr>
          <w:rFonts w:ascii="Verdana" w:hAnsi="Verdana" w:cs="Verdana"/>
          <w:sz w:val="20"/>
          <w:szCs w:val="20"/>
        </w:rPr>
        <w:t>871-4747</w:t>
      </w:r>
    </w:p>
    <w:p w14:paraId="5F9B3315" w14:textId="77777777" w:rsidR="00DB3546" w:rsidRPr="00E477B6" w:rsidRDefault="00DB3546" w:rsidP="00DB35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     </w:t>
      </w:r>
      <w:hyperlink r:id="rId8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</w:p>
    <w:p w14:paraId="780EB215" w14:textId="77777777" w:rsidR="00DB3546" w:rsidRPr="00515A1E" w:rsidRDefault="00DB3546" w:rsidP="00515A1E">
      <w:pPr>
        <w:pStyle w:val="Heading1"/>
        <w:spacing w:before="120" w:line="360" w:lineRule="auto"/>
        <w:rPr>
          <w:rFonts w:ascii="Verdana" w:hAnsi="Verdana"/>
          <w:sz w:val="20"/>
          <w:szCs w:val="20"/>
        </w:rPr>
      </w:pPr>
    </w:p>
    <w:p w14:paraId="5CBD09E8" w14:textId="03CFAF04" w:rsidR="00DB3546" w:rsidRPr="0081464E" w:rsidRDefault="00DB3546" w:rsidP="00DB3546">
      <w:pPr>
        <w:spacing w:line="264" w:lineRule="auto"/>
        <w:jc w:val="center"/>
        <w:rPr>
          <w:rFonts w:ascii="Verdana" w:hAnsi="Verdana" w:cs="Verdana"/>
          <w:b/>
          <w:iCs/>
          <w:spacing w:val="-2"/>
          <w:sz w:val="28"/>
          <w:szCs w:val="28"/>
        </w:rPr>
      </w:pP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Keystone Folding Box Company </w:t>
      </w:r>
      <w:r w:rsidR="0081464E" w:rsidRPr="0081464E">
        <w:rPr>
          <w:rFonts w:ascii="Verdana" w:hAnsi="Verdana" w:cs="Verdana"/>
          <w:b/>
          <w:iCs/>
          <w:spacing w:val="-2"/>
          <w:sz w:val="28"/>
          <w:szCs w:val="28"/>
        </w:rPr>
        <w:t>Offers</w:t>
      </w:r>
      <w:r w:rsidR="005B60F4"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 </w:t>
      </w: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Line </w:t>
      </w:r>
    </w:p>
    <w:p w14:paraId="52598FE1" w14:textId="77777777" w:rsidR="0081464E" w:rsidRPr="0081464E" w:rsidRDefault="00DB3546" w:rsidP="00DB3546">
      <w:pPr>
        <w:spacing w:line="264" w:lineRule="auto"/>
        <w:jc w:val="center"/>
        <w:rPr>
          <w:rFonts w:ascii="Verdana" w:hAnsi="Verdana" w:cs="Verdana"/>
          <w:b/>
          <w:iCs/>
          <w:spacing w:val="-2"/>
          <w:sz w:val="28"/>
          <w:szCs w:val="28"/>
        </w:rPr>
      </w:pP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of </w:t>
      </w:r>
      <w:r w:rsidR="0081464E"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Customizable </w:t>
      </w: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Packaging Solutions </w:t>
      </w:r>
    </w:p>
    <w:p w14:paraId="05B3C03C" w14:textId="52B70577" w:rsidR="00DB3546" w:rsidRPr="0081464E" w:rsidRDefault="00DB3546" w:rsidP="00DB3546">
      <w:pPr>
        <w:spacing w:line="264" w:lineRule="auto"/>
        <w:jc w:val="center"/>
        <w:rPr>
          <w:rFonts w:ascii="Verdana" w:hAnsi="Verdana" w:cs="Verdana"/>
          <w:b/>
          <w:iCs/>
          <w:spacing w:val="-2"/>
          <w:sz w:val="28"/>
          <w:szCs w:val="28"/>
        </w:rPr>
      </w:pP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>for Injectable Pharma Products</w:t>
      </w:r>
    </w:p>
    <w:p w14:paraId="604E92F1" w14:textId="77777777" w:rsidR="00DB3546" w:rsidRDefault="00DB3546" w:rsidP="00DB3546">
      <w:pPr>
        <w:spacing w:line="360" w:lineRule="auto"/>
        <w:rPr>
          <w:rFonts w:ascii="Verdana" w:hAnsi="Verdana" w:cs="Verdana"/>
          <w:i/>
          <w:iCs/>
          <w:spacing w:val="-2"/>
          <w:sz w:val="20"/>
          <w:szCs w:val="20"/>
        </w:rPr>
      </w:pPr>
    </w:p>
    <w:p w14:paraId="416803F0" w14:textId="7FD8C48B" w:rsidR="00DB3546" w:rsidRPr="00DB3546" w:rsidRDefault="00DB3546" w:rsidP="00DB3546">
      <w:pPr>
        <w:spacing w:line="264" w:lineRule="auto"/>
        <w:jc w:val="center"/>
        <w:rPr>
          <w:rFonts w:ascii="Verdana" w:hAnsi="Verdana" w:cs="Verdana"/>
          <w:b/>
          <w:i/>
          <w:iCs/>
          <w:spacing w:val="-2"/>
          <w:sz w:val="22"/>
          <w:szCs w:val="20"/>
        </w:rPr>
      </w:pP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Family of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s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econdary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p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ackaging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o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>ptions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ideal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for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p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refilled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s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>yringes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>,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a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utoinjector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p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>ens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,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v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>ials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&amp;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a</w:t>
      </w:r>
      <w:r w:rsidRPr="00DB3546">
        <w:rPr>
          <w:rFonts w:ascii="Verdana" w:hAnsi="Verdana" w:cs="Verdana"/>
          <w:b/>
          <w:i/>
          <w:iCs/>
          <w:spacing w:val="-2"/>
          <w:sz w:val="22"/>
          <w:szCs w:val="20"/>
        </w:rPr>
        <w:t>mpoules</w:t>
      </w:r>
      <w:r w:rsidR="0081464E">
        <w:rPr>
          <w:rFonts w:ascii="Verdana" w:hAnsi="Verdana" w:cs="Verdana"/>
          <w:b/>
          <w:i/>
          <w:iCs/>
          <w:spacing w:val="-2"/>
          <w:sz w:val="22"/>
          <w:szCs w:val="20"/>
        </w:rPr>
        <w:t>.</w:t>
      </w:r>
    </w:p>
    <w:p w14:paraId="56282269" w14:textId="77777777" w:rsidR="00DB3546" w:rsidRDefault="00DB3546" w:rsidP="00DB3546">
      <w:pPr>
        <w:spacing w:after="120" w:line="360" w:lineRule="auto"/>
        <w:rPr>
          <w:rFonts w:ascii="Verdana" w:hAnsi="Verdana" w:cs="Verdana"/>
          <w:i/>
          <w:iCs/>
          <w:spacing w:val="-2"/>
          <w:sz w:val="20"/>
          <w:szCs w:val="20"/>
        </w:rPr>
      </w:pPr>
    </w:p>
    <w:p w14:paraId="5C254C53" w14:textId="5D8D51EE" w:rsidR="00DB3546" w:rsidRPr="00C94218" w:rsidRDefault="00DB3546" w:rsidP="00364886">
      <w:pPr>
        <w:spacing w:line="360" w:lineRule="auto"/>
        <w:rPr>
          <w:rFonts w:ascii="Verdana" w:hAnsi="Verdana"/>
          <w:spacing w:val="-2"/>
          <w:sz w:val="20"/>
          <w:szCs w:val="20"/>
        </w:rPr>
      </w:pPr>
      <w:r w:rsidRPr="00C94218">
        <w:rPr>
          <w:rFonts w:ascii="Verdana" w:hAnsi="Verdana" w:cs="Verdana"/>
          <w:i/>
          <w:iCs/>
          <w:spacing w:val="-2"/>
          <w:sz w:val="20"/>
          <w:szCs w:val="20"/>
        </w:rPr>
        <w:t>Newark, NJ</w:t>
      </w:r>
      <w:r w:rsidRPr="00C94218">
        <w:rPr>
          <w:rFonts w:ascii="Verdana" w:hAnsi="Verdana" w:cs="Verdana"/>
          <w:spacing w:val="-2"/>
          <w:sz w:val="20"/>
          <w:szCs w:val="20"/>
        </w:rPr>
        <w:t xml:space="preserve"> – </w:t>
      </w:r>
      <w:r w:rsidRPr="00C94218">
        <w:rPr>
          <w:rFonts w:ascii="Verdana" w:hAnsi="Verdana"/>
          <w:b/>
          <w:spacing w:val="-2"/>
          <w:sz w:val="20"/>
          <w:szCs w:val="20"/>
        </w:rPr>
        <w:t>Keystone Folding Box Co.</w:t>
      </w:r>
      <w:r w:rsidRPr="00C94218">
        <w:rPr>
          <w:rFonts w:ascii="Verdana" w:hAnsi="Verdana"/>
          <w:spacing w:val="-2"/>
          <w:sz w:val="20"/>
          <w:szCs w:val="20"/>
        </w:rPr>
        <w:t xml:space="preserve">, </w:t>
      </w:r>
      <w:r w:rsidR="0081464E" w:rsidRPr="00C94218">
        <w:rPr>
          <w:rFonts w:ascii="Verdana" w:hAnsi="Verdana"/>
          <w:spacing w:val="-2"/>
          <w:sz w:val="20"/>
          <w:szCs w:val="20"/>
        </w:rPr>
        <w:t>a designer and manufacturer of paperboard packaging solutions</w:t>
      </w:r>
      <w:r w:rsidRPr="00C94218">
        <w:rPr>
          <w:rFonts w:ascii="Verdana" w:hAnsi="Verdana"/>
          <w:spacing w:val="-2"/>
          <w:sz w:val="20"/>
          <w:szCs w:val="20"/>
        </w:rPr>
        <w:t xml:space="preserve">, </w:t>
      </w:r>
      <w:r w:rsidR="00A45BAC">
        <w:rPr>
          <w:rFonts w:ascii="Verdana" w:hAnsi="Verdana"/>
          <w:spacing w:val="-2"/>
          <w:sz w:val="20"/>
          <w:szCs w:val="20"/>
        </w:rPr>
        <w:t>now offers</w:t>
      </w:r>
      <w:r w:rsidR="005B60F4" w:rsidRPr="00C94218">
        <w:rPr>
          <w:rFonts w:ascii="Verdana" w:hAnsi="Verdana"/>
          <w:spacing w:val="-2"/>
          <w:sz w:val="20"/>
          <w:szCs w:val="20"/>
        </w:rPr>
        <w:t xml:space="preserve"> </w:t>
      </w:r>
      <w:r w:rsidRPr="00C94218">
        <w:rPr>
          <w:rFonts w:ascii="Verdana" w:hAnsi="Verdana"/>
          <w:spacing w:val="-2"/>
          <w:sz w:val="20"/>
          <w:szCs w:val="20"/>
        </w:rPr>
        <w:t xml:space="preserve">a line of </w:t>
      </w:r>
      <w:r w:rsidRPr="00C94218">
        <w:rPr>
          <w:rFonts w:ascii="Verdana" w:hAnsi="Verdana"/>
          <w:bCs/>
          <w:spacing w:val="-2"/>
          <w:sz w:val="20"/>
          <w:szCs w:val="20"/>
        </w:rPr>
        <w:t>secondary packaging</w:t>
      </w:r>
      <w:r w:rsidR="0079170A" w:rsidRPr="00C94218">
        <w:rPr>
          <w:rFonts w:ascii="Verdana" w:hAnsi="Verdana"/>
          <w:bCs/>
          <w:spacing w:val="-2"/>
          <w:sz w:val="20"/>
          <w:szCs w:val="20"/>
        </w:rPr>
        <w:t xml:space="preserve"> system</w:t>
      </w:r>
      <w:r w:rsidRPr="00C94218">
        <w:rPr>
          <w:rFonts w:ascii="Verdana" w:hAnsi="Verdana"/>
          <w:bCs/>
          <w:spacing w:val="-2"/>
          <w:sz w:val="20"/>
          <w:szCs w:val="20"/>
        </w:rPr>
        <w:t>s for injectable pharma products</w:t>
      </w:r>
      <w:r w:rsidRPr="00C94218">
        <w:rPr>
          <w:rFonts w:ascii="Verdana" w:hAnsi="Verdana"/>
          <w:spacing w:val="-2"/>
          <w:sz w:val="20"/>
          <w:szCs w:val="20"/>
        </w:rPr>
        <w:t xml:space="preserve">. </w:t>
      </w:r>
      <w:r w:rsidR="00364886" w:rsidRPr="00C94218">
        <w:rPr>
          <w:rFonts w:ascii="Verdana" w:hAnsi="Verdana"/>
          <w:spacing w:val="-2"/>
          <w:sz w:val="20"/>
          <w:szCs w:val="20"/>
        </w:rPr>
        <w:t>Available in a variety of tailored features and in both all-paperboard and plastic-hybrid formats, solutions are available for prefilled syringes, autoinjector pens, vials and amp</w:t>
      </w:r>
      <w:r w:rsidR="00FB394C" w:rsidRPr="00C94218">
        <w:rPr>
          <w:rFonts w:ascii="Verdana" w:hAnsi="Verdana"/>
          <w:spacing w:val="-2"/>
          <w:sz w:val="20"/>
          <w:szCs w:val="20"/>
        </w:rPr>
        <w:t>o</w:t>
      </w:r>
      <w:r w:rsidR="00364886" w:rsidRPr="00C94218">
        <w:rPr>
          <w:rFonts w:ascii="Verdana" w:hAnsi="Verdana"/>
          <w:spacing w:val="-2"/>
          <w:sz w:val="20"/>
          <w:szCs w:val="20"/>
        </w:rPr>
        <w:t xml:space="preserve">ules, as well as combinations of these. </w:t>
      </w:r>
    </w:p>
    <w:p w14:paraId="6C9FB85B" w14:textId="77777777" w:rsidR="00DB3546" w:rsidRPr="00C94218" w:rsidRDefault="00DB3546" w:rsidP="00C72C69">
      <w:pPr>
        <w:rPr>
          <w:rFonts w:ascii="Verdana" w:hAnsi="Verdana"/>
          <w:sz w:val="20"/>
          <w:szCs w:val="20"/>
        </w:rPr>
      </w:pPr>
    </w:p>
    <w:p w14:paraId="3C487856" w14:textId="3538A9DF" w:rsidR="00364886" w:rsidRPr="00C94218" w:rsidRDefault="00C72C69" w:rsidP="00DB3546">
      <w:pPr>
        <w:spacing w:line="360" w:lineRule="auto"/>
        <w:rPr>
          <w:rFonts w:ascii="Verdana" w:hAnsi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 xml:space="preserve">Biologics, biosimilars, vaccines and other medications </w:t>
      </w:r>
      <w:r w:rsidR="00364886" w:rsidRPr="00C94218">
        <w:rPr>
          <w:rFonts w:ascii="Verdana" w:hAnsi="Verdana"/>
          <w:sz w:val="20"/>
          <w:szCs w:val="20"/>
        </w:rPr>
        <w:t xml:space="preserve">delivered through injection </w:t>
      </w:r>
      <w:r w:rsidRPr="00C94218">
        <w:rPr>
          <w:rFonts w:ascii="Verdana" w:hAnsi="Verdana"/>
          <w:sz w:val="20"/>
          <w:szCs w:val="20"/>
        </w:rPr>
        <w:t xml:space="preserve">present unique secondary packaging challenges. </w:t>
      </w:r>
      <w:r w:rsidR="00364886" w:rsidRPr="00C94218">
        <w:rPr>
          <w:rFonts w:ascii="Verdana" w:hAnsi="Verdana"/>
          <w:sz w:val="20"/>
          <w:szCs w:val="20"/>
        </w:rPr>
        <w:t xml:space="preserve">Addressing these complexities, </w:t>
      </w:r>
      <w:r w:rsidRPr="00C94218">
        <w:rPr>
          <w:rFonts w:ascii="Verdana" w:hAnsi="Verdana"/>
          <w:sz w:val="20"/>
          <w:szCs w:val="20"/>
        </w:rPr>
        <w:t>Keystone</w:t>
      </w:r>
      <w:r w:rsidR="00364886" w:rsidRPr="00C94218">
        <w:rPr>
          <w:rFonts w:ascii="Verdana" w:hAnsi="Verdana"/>
          <w:sz w:val="20"/>
          <w:szCs w:val="20"/>
        </w:rPr>
        <w:t>’s</w:t>
      </w:r>
      <w:r w:rsidRPr="00C94218">
        <w:rPr>
          <w:rFonts w:ascii="Verdana" w:hAnsi="Verdana"/>
          <w:sz w:val="20"/>
          <w:szCs w:val="20"/>
        </w:rPr>
        <w:t xml:space="preserve"> collection meet</w:t>
      </w:r>
      <w:r w:rsidR="00364886" w:rsidRPr="00C94218">
        <w:rPr>
          <w:rFonts w:ascii="Verdana" w:hAnsi="Verdana"/>
          <w:sz w:val="20"/>
          <w:szCs w:val="20"/>
        </w:rPr>
        <w:t>s</w:t>
      </w:r>
      <w:r w:rsidRPr="00C94218">
        <w:rPr>
          <w:rFonts w:ascii="Verdana" w:hAnsi="Verdana"/>
          <w:sz w:val="20"/>
          <w:szCs w:val="20"/>
        </w:rPr>
        <w:t xml:space="preserve"> a range of needs</w:t>
      </w:r>
      <w:r w:rsidR="00364886" w:rsidRPr="00C94218">
        <w:rPr>
          <w:rFonts w:ascii="Verdana" w:hAnsi="Verdana"/>
          <w:sz w:val="20"/>
          <w:szCs w:val="20"/>
        </w:rPr>
        <w:t xml:space="preserve"> through options such as tamper evidence</w:t>
      </w:r>
      <w:r w:rsidR="00FB394C" w:rsidRPr="00C94218">
        <w:rPr>
          <w:rFonts w:ascii="Verdana" w:hAnsi="Verdana"/>
          <w:sz w:val="20"/>
          <w:szCs w:val="20"/>
        </w:rPr>
        <w:t xml:space="preserve"> and</w:t>
      </w:r>
      <w:r w:rsidR="00364886" w:rsidRPr="00C94218">
        <w:rPr>
          <w:rFonts w:ascii="Verdana" w:hAnsi="Verdana"/>
          <w:sz w:val="20"/>
          <w:szCs w:val="20"/>
        </w:rPr>
        <w:t xml:space="preserve"> child-resistance via reclosable locking mechanisms</w:t>
      </w:r>
      <w:r w:rsidR="00FB394C" w:rsidRPr="00C94218">
        <w:rPr>
          <w:rFonts w:ascii="Verdana" w:hAnsi="Verdana"/>
          <w:sz w:val="20"/>
          <w:szCs w:val="20"/>
        </w:rPr>
        <w:t xml:space="preserve"> – all while ensuring product protection throughout the supply chain. The portfolio includes: </w:t>
      </w:r>
    </w:p>
    <w:p w14:paraId="40D90BC4" w14:textId="65E3F495" w:rsidR="00C94218" w:rsidRPr="00C94218" w:rsidRDefault="00FB394C" w:rsidP="00C94218">
      <w:pPr>
        <w:pStyle w:val="NormalWeb"/>
        <w:numPr>
          <w:ilvl w:val="0"/>
          <w:numId w:val="2"/>
        </w:numPr>
        <w:spacing w:before="20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C94218">
        <w:rPr>
          <w:rStyle w:val="Strong"/>
          <w:rFonts w:ascii="Verdana" w:hAnsi="Verdana"/>
          <w:b w:val="0"/>
          <w:sz w:val="20"/>
          <w:szCs w:val="20"/>
        </w:rPr>
        <w:t>The</w:t>
      </w:r>
      <w:r w:rsidRPr="00C94218">
        <w:rPr>
          <w:rStyle w:val="Strong"/>
          <w:rFonts w:ascii="Verdana" w:hAnsi="Verdana"/>
          <w:sz w:val="20"/>
          <w:szCs w:val="20"/>
        </w:rPr>
        <w:t xml:space="preserve"> Vial Pack</w:t>
      </w:r>
      <w:r w:rsidRPr="00C94218">
        <w:rPr>
          <w:rFonts w:ascii="Verdana" w:hAnsi="Verdana"/>
          <w:sz w:val="20"/>
          <w:szCs w:val="20"/>
        </w:rPr>
        <w:t xml:space="preserve"> line of cartons includes designs for packaging a single vial or ampoule, or as many products as a program requires.</w:t>
      </w:r>
      <w:r w:rsidR="00C94218" w:rsidRPr="00C94218">
        <w:rPr>
          <w:rFonts w:ascii="Verdana" w:hAnsi="Verdana"/>
          <w:sz w:val="20"/>
          <w:szCs w:val="20"/>
        </w:rPr>
        <w:t xml:space="preserve"> The easy-to-store packs allow ample real estate for detailed usage instructions – a must for healthcare professionals and caregivers, including staff in hospitals, assisted living facilities and at-home care settings.</w:t>
      </w:r>
    </w:p>
    <w:p w14:paraId="15C07F63" w14:textId="338DC484" w:rsidR="00FB394C" w:rsidRPr="00C94218" w:rsidRDefault="00FB394C" w:rsidP="00A45BAC">
      <w:pPr>
        <w:pStyle w:val="NormalWeb"/>
        <w:numPr>
          <w:ilvl w:val="0"/>
          <w:numId w:val="2"/>
        </w:numPr>
        <w:spacing w:before="16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C94218">
        <w:rPr>
          <w:rStyle w:val="Strong"/>
          <w:rFonts w:ascii="Verdana" w:hAnsi="Verdana"/>
          <w:b w:val="0"/>
          <w:sz w:val="20"/>
          <w:szCs w:val="20"/>
        </w:rPr>
        <w:lastRenderedPageBreak/>
        <w:t>A line of</w:t>
      </w:r>
      <w:r w:rsidRPr="00C94218">
        <w:rPr>
          <w:rStyle w:val="Strong"/>
          <w:rFonts w:ascii="Verdana" w:hAnsi="Verdana"/>
          <w:sz w:val="20"/>
          <w:szCs w:val="20"/>
        </w:rPr>
        <w:t xml:space="preserve"> Injectable Packs</w:t>
      </w:r>
      <w:r w:rsidRPr="00C94218">
        <w:rPr>
          <w:rFonts w:ascii="Verdana" w:hAnsi="Verdana"/>
          <w:sz w:val="20"/>
          <w:szCs w:val="20"/>
        </w:rPr>
        <w:t xml:space="preserve"> is suitable for prefilled syringes or autoinjector pens, and can be designed to include ancillary items like sterile wipes.</w:t>
      </w:r>
    </w:p>
    <w:p w14:paraId="14E3B164" w14:textId="3D1D8C16" w:rsidR="00FB394C" w:rsidRPr="00C94218" w:rsidRDefault="00FB394C" w:rsidP="00A45BAC">
      <w:pPr>
        <w:pStyle w:val="NormalWeb"/>
        <w:numPr>
          <w:ilvl w:val="0"/>
          <w:numId w:val="2"/>
        </w:numPr>
        <w:spacing w:before="160" w:beforeAutospacing="0" w:after="0" w:afterAutospacing="0" w:line="288" w:lineRule="auto"/>
        <w:rPr>
          <w:rFonts w:ascii="Verdana" w:hAnsi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 xml:space="preserve">The </w:t>
      </w:r>
      <w:r w:rsidRPr="00C94218">
        <w:rPr>
          <w:rStyle w:val="Strong"/>
          <w:rFonts w:ascii="Verdana" w:hAnsi="Verdana"/>
          <w:sz w:val="20"/>
          <w:szCs w:val="20"/>
        </w:rPr>
        <w:t>InjectaSlide</w:t>
      </w:r>
      <w:r w:rsidRPr="00C94218">
        <w:rPr>
          <w:rFonts w:ascii="Verdana" w:hAnsi="Verdana"/>
          <w:sz w:val="20"/>
          <w:szCs w:val="20"/>
        </w:rPr>
        <w:t xml:space="preserve"> package incorporates a thermoformed tray that slides inside a carton and into a locked position; a lock release button must be pressed to unlock and slide the tray forward for easy access to each dose.</w:t>
      </w:r>
    </w:p>
    <w:p w14:paraId="0BCF877F" w14:textId="77777777" w:rsidR="00C94218" w:rsidRPr="00C94218" w:rsidRDefault="00C94218" w:rsidP="00C94218">
      <w:pPr>
        <w:pStyle w:val="NormalWeb"/>
        <w:spacing w:before="120" w:beforeAutospacing="0" w:after="0" w:afterAutospacing="0" w:line="288" w:lineRule="auto"/>
        <w:rPr>
          <w:rFonts w:ascii="Verdana" w:hAnsi="Verdana"/>
          <w:sz w:val="20"/>
          <w:szCs w:val="20"/>
        </w:rPr>
      </w:pPr>
    </w:p>
    <w:p w14:paraId="74D32114" w14:textId="1EC1731F" w:rsidR="00FB394C" w:rsidRPr="00C94218" w:rsidRDefault="00FB394C" w:rsidP="00FB394C">
      <w:pPr>
        <w:spacing w:line="360" w:lineRule="auto"/>
        <w:rPr>
          <w:rFonts w:ascii="Verdana" w:hAnsi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 xml:space="preserve">Keystone’s secondary packaging solutions for injectables </w:t>
      </w:r>
      <w:r w:rsidR="00466BDB" w:rsidRPr="00C94218">
        <w:rPr>
          <w:rFonts w:ascii="Verdana" w:hAnsi="Verdana"/>
          <w:sz w:val="20"/>
          <w:szCs w:val="20"/>
        </w:rPr>
        <w:t>are appropriate</w:t>
      </w:r>
      <w:r w:rsidRPr="00C94218">
        <w:rPr>
          <w:rFonts w:ascii="Verdana" w:hAnsi="Verdana"/>
          <w:sz w:val="20"/>
          <w:szCs w:val="20"/>
        </w:rPr>
        <w:t xml:space="preserve"> for automated or manual production, and are ideal for</w:t>
      </w:r>
      <w:r w:rsidR="00C94218" w:rsidRPr="00C94218">
        <w:rPr>
          <w:rFonts w:ascii="Verdana" w:hAnsi="Verdana"/>
          <w:sz w:val="20"/>
          <w:szCs w:val="20"/>
        </w:rPr>
        <w:t xml:space="preserve"> everything from </w:t>
      </w:r>
      <w:r w:rsidRPr="00C94218">
        <w:rPr>
          <w:rFonts w:ascii="Verdana" w:hAnsi="Verdana"/>
          <w:sz w:val="20"/>
          <w:szCs w:val="20"/>
        </w:rPr>
        <w:t xml:space="preserve">clinical trials </w:t>
      </w:r>
      <w:r w:rsidR="00C94218">
        <w:rPr>
          <w:rFonts w:ascii="Verdana" w:hAnsi="Verdana"/>
          <w:sz w:val="20"/>
          <w:szCs w:val="20"/>
        </w:rPr>
        <w:t xml:space="preserve">and academic settings to mail order drugs, compounding pharmacies and other </w:t>
      </w:r>
      <w:r w:rsidRPr="00C94218">
        <w:rPr>
          <w:rFonts w:ascii="Verdana" w:hAnsi="Verdana"/>
          <w:sz w:val="20"/>
          <w:szCs w:val="20"/>
        </w:rPr>
        <w:t>full-scale commercialization</w:t>
      </w:r>
      <w:r w:rsidR="00227C44">
        <w:rPr>
          <w:rFonts w:ascii="Verdana" w:hAnsi="Verdana"/>
          <w:sz w:val="20"/>
          <w:szCs w:val="20"/>
        </w:rPr>
        <w:t xml:space="preserve"> scenarios</w:t>
      </w:r>
      <w:r w:rsidRPr="00C94218">
        <w:rPr>
          <w:rFonts w:ascii="Verdana" w:hAnsi="Verdana"/>
          <w:sz w:val="20"/>
          <w:szCs w:val="20"/>
        </w:rPr>
        <w:t xml:space="preserve">. </w:t>
      </w:r>
      <w:r w:rsidR="006A718F">
        <w:rPr>
          <w:rFonts w:ascii="Verdana" w:hAnsi="Verdana"/>
          <w:sz w:val="20"/>
          <w:szCs w:val="20"/>
        </w:rPr>
        <w:t>The packaging is</w:t>
      </w:r>
      <w:r w:rsidRPr="00C94218">
        <w:rPr>
          <w:rFonts w:ascii="Verdana" w:hAnsi="Verdana"/>
          <w:sz w:val="20"/>
          <w:szCs w:val="20"/>
        </w:rPr>
        <w:t xml:space="preserve"> </w:t>
      </w:r>
      <w:r w:rsidR="006A718F">
        <w:rPr>
          <w:rFonts w:ascii="Verdana" w:hAnsi="Verdana"/>
          <w:sz w:val="20"/>
          <w:szCs w:val="20"/>
        </w:rPr>
        <w:t>suitable for use</w:t>
      </w:r>
      <w:r w:rsidRPr="00C94218">
        <w:rPr>
          <w:rFonts w:ascii="Verdana" w:hAnsi="Verdana"/>
          <w:sz w:val="20"/>
          <w:szCs w:val="20"/>
        </w:rPr>
        <w:t xml:space="preserve"> </w:t>
      </w:r>
      <w:r w:rsidR="006A718F">
        <w:rPr>
          <w:rFonts w:ascii="Verdana" w:hAnsi="Verdana"/>
          <w:sz w:val="20"/>
          <w:szCs w:val="20"/>
        </w:rPr>
        <w:t xml:space="preserve">in </w:t>
      </w:r>
      <w:r w:rsidRPr="00C94218">
        <w:rPr>
          <w:rFonts w:ascii="Verdana" w:hAnsi="Verdana"/>
          <w:sz w:val="20"/>
          <w:szCs w:val="20"/>
        </w:rPr>
        <w:t>temperature</w:t>
      </w:r>
      <w:r w:rsidR="006A718F">
        <w:rPr>
          <w:rFonts w:ascii="Verdana" w:hAnsi="Verdana"/>
          <w:sz w:val="20"/>
          <w:szCs w:val="20"/>
        </w:rPr>
        <w:t>s as low as -80C which is</w:t>
      </w:r>
      <w:r w:rsidRPr="00C94218">
        <w:rPr>
          <w:rFonts w:ascii="Verdana" w:hAnsi="Verdana"/>
          <w:sz w:val="20"/>
          <w:szCs w:val="20"/>
        </w:rPr>
        <w:t xml:space="preserve"> typical </w:t>
      </w:r>
      <w:r w:rsidR="006A718F">
        <w:rPr>
          <w:rFonts w:ascii="Verdana" w:hAnsi="Verdana"/>
          <w:sz w:val="20"/>
          <w:szCs w:val="20"/>
        </w:rPr>
        <w:t>with</w:t>
      </w:r>
      <w:r w:rsidRPr="00C94218">
        <w:rPr>
          <w:rFonts w:ascii="Verdana" w:hAnsi="Verdana"/>
          <w:sz w:val="20"/>
          <w:szCs w:val="20"/>
        </w:rPr>
        <w:t xml:space="preserve"> cold</w:t>
      </w:r>
      <w:r w:rsidR="006A718F">
        <w:rPr>
          <w:rFonts w:ascii="Verdana" w:hAnsi="Verdana"/>
          <w:sz w:val="20"/>
          <w:szCs w:val="20"/>
        </w:rPr>
        <w:t>-</w:t>
      </w:r>
      <w:r w:rsidRPr="00C94218">
        <w:rPr>
          <w:rFonts w:ascii="Verdana" w:hAnsi="Verdana"/>
          <w:sz w:val="20"/>
          <w:szCs w:val="20"/>
        </w:rPr>
        <w:t>chain distribution</w:t>
      </w:r>
      <w:r w:rsidR="006A718F">
        <w:rPr>
          <w:rFonts w:ascii="Verdana" w:hAnsi="Verdana"/>
          <w:sz w:val="20"/>
          <w:szCs w:val="20"/>
        </w:rPr>
        <w:t xml:space="preserve"> required</w:t>
      </w:r>
      <w:r w:rsidRPr="00C94218">
        <w:rPr>
          <w:rFonts w:ascii="Verdana" w:hAnsi="Verdana"/>
          <w:sz w:val="20"/>
          <w:szCs w:val="20"/>
        </w:rPr>
        <w:t xml:space="preserve"> of injectable products.  </w:t>
      </w:r>
    </w:p>
    <w:p w14:paraId="34DA1016" w14:textId="77777777" w:rsidR="00FB394C" w:rsidRPr="00C94218" w:rsidRDefault="00FB394C" w:rsidP="00FB394C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62A8FB44" w14:textId="72BE1244" w:rsidR="00FB394C" w:rsidRPr="00C94218" w:rsidRDefault="00515A1E" w:rsidP="00FB394C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>Child-r</w:t>
      </w:r>
      <w:r w:rsidR="00FB394C" w:rsidRPr="00C94218">
        <w:rPr>
          <w:rFonts w:ascii="Verdana" w:hAnsi="Verdana"/>
          <w:sz w:val="20"/>
          <w:szCs w:val="20"/>
        </w:rPr>
        <w:t xml:space="preserve">esistant features are available </w:t>
      </w:r>
      <w:r w:rsidRPr="00C94218">
        <w:rPr>
          <w:rFonts w:ascii="Verdana" w:hAnsi="Verdana"/>
          <w:sz w:val="20"/>
          <w:szCs w:val="20"/>
        </w:rPr>
        <w:t>with</w:t>
      </w:r>
      <w:r w:rsidR="00FB394C" w:rsidRPr="00C94218">
        <w:rPr>
          <w:rFonts w:ascii="Verdana" w:hAnsi="Verdana"/>
          <w:sz w:val="20"/>
          <w:szCs w:val="20"/>
        </w:rPr>
        <w:t xml:space="preserve"> </w:t>
      </w:r>
      <w:r w:rsidRPr="00C94218">
        <w:rPr>
          <w:rFonts w:ascii="Verdana" w:hAnsi="Verdana"/>
          <w:sz w:val="20"/>
          <w:szCs w:val="20"/>
        </w:rPr>
        <w:t>several</w:t>
      </w:r>
      <w:r w:rsidR="00FB394C" w:rsidRPr="00C94218">
        <w:rPr>
          <w:rFonts w:ascii="Verdana" w:hAnsi="Verdana"/>
          <w:sz w:val="20"/>
          <w:szCs w:val="20"/>
        </w:rPr>
        <w:t xml:space="preserve"> </w:t>
      </w:r>
      <w:r w:rsidRPr="00C94218">
        <w:rPr>
          <w:rFonts w:ascii="Verdana" w:hAnsi="Verdana"/>
          <w:sz w:val="20"/>
          <w:szCs w:val="20"/>
        </w:rPr>
        <w:t>of the solutions</w:t>
      </w:r>
      <w:r w:rsidR="00FB394C" w:rsidRPr="00C94218">
        <w:rPr>
          <w:rFonts w:ascii="Verdana" w:hAnsi="Verdana"/>
          <w:sz w:val="20"/>
          <w:szCs w:val="20"/>
        </w:rPr>
        <w:t xml:space="preserve"> and</w:t>
      </w:r>
      <w:r w:rsidRPr="00C94218">
        <w:rPr>
          <w:rFonts w:ascii="Verdana" w:hAnsi="Verdana"/>
          <w:sz w:val="20"/>
          <w:szCs w:val="20"/>
        </w:rPr>
        <w:t xml:space="preserve">, </w:t>
      </w:r>
      <w:r w:rsidR="00FB394C" w:rsidRPr="00C94218">
        <w:rPr>
          <w:rFonts w:ascii="Verdana" w:hAnsi="Verdana"/>
          <w:sz w:val="20"/>
          <w:szCs w:val="20"/>
        </w:rPr>
        <w:t xml:space="preserve">for </w:t>
      </w:r>
      <w:r w:rsidR="006A718F">
        <w:rPr>
          <w:rFonts w:ascii="Verdana" w:hAnsi="Verdana"/>
          <w:sz w:val="20"/>
          <w:szCs w:val="20"/>
        </w:rPr>
        <w:t xml:space="preserve">outpatient or </w:t>
      </w:r>
      <w:r w:rsidR="00FB394C" w:rsidRPr="00C94218">
        <w:rPr>
          <w:rFonts w:ascii="Verdana" w:hAnsi="Verdana"/>
          <w:sz w:val="20"/>
          <w:szCs w:val="20"/>
        </w:rPr>
        <w:t>in-home use</w:t>
      </w:r>
      <w:r w:rsidRPr="00C94218">
        <w:rPr>
          <w:rFonts w:ascii="Verdana" w:hAnsi="Verdana"/>
          <w:sz w:val="20"/>
          <w:szCs w:val="20"/>
        </w:rPr>
        <w:t xml:space="preserve">, </w:t>
      </w:r>
      <w:r w:rsidR="00FB394C" w:rsidRPr="00C94218">
        <w:rPr>
          <w:rFonts w:ascii="Verdana" w:hAnsi="Verdana"/>
          <w:sz w:val="20"/>
          <w:szCs w:val="20"/>
        </w:rPr>
        <w:t>multi</w:t>
      </w:r>
      <w:r w:rsidR="00466BDB" w:rsidRPr="00C94218">
        <w:rPr>
          <w:rFonts w:ascii="Verdana" w:hAnsi="Verdana"/>
          <w:sz w:val="20"/>
          <w:szCs w:val="20"/>
        </w:rPr>
        <w:t>-</w:t>
      </w:r>
      <w:r w:rsidR="00FB394C" w:rsidRPr="00C94218">
        <w:rPr>
          <w:rFonts w:ascii="Verdana" w:hAnsi="Verdana"/>
          <w:sz w:val="20"/>
          <w:szCs w:val="20"/>
        </w:rPr>
        <w:t xml:space="preserve">dose packs can be </w:t>
      </w:r>
      <w:r w:rsidRPr="00C94218">
        <w:rPr>
          <w:rFonts w:ascii="Verdana" w:hAnsi="Verdana"/>
          <w:sz w:val="20"/>
          <w:szCs w:val="20"/>
        </w:rPr>
        <w:t>designed</w:t>
      </w:r>
      <w:r w:rsidR="00FB394C" w:rsidRPr="00C94218">
        <w:rPr>
          <w:rFonts w:ascii="Verdana" w:hAnsi="Verdana"/>
          <w:sz w:val="20"/>
          <w:szCs w:val="20"/>
        </w:rPr>
        <w:t xml:space="preserve"> </w:t>
      </w:r>
      <w:r w:rsidR="00466BDB" w:rsidRPr="00C94218">
        <w:rPr>
          <w:rFonts w:ascii="Verdana" w:hAnsi="Verdana"/>
          <w:sz w:val="20"/>
          <w:szCs w:val="20"/>
        </w:rPr>
        <w:t>capable of</w:t>
      </w:r>
      <w:r w:rsidR="00FB394C" w:rsidRPr="00C94218">
        <w:rPr>
          <w:rFonts w:ascii="Verdana" w:hAnsi="Verdana"/>
          <w:sz w:val="20"/>
          <w:szCs w:val="20"/>
        </w:rPr>
        <w:t xml:space="preserve"> prompt</w:t>
      </w:r>
      <w:r w:rsidR="00466BDB" w:rsidRPr="00C94218">
        <w:rPr>
          <w:rFonts w:ascii="Verdana" w:hAnsi="Verdana"/>
          <w:sz w:val="20"/>
          <w:szCs w:val="20"/>
        </w:rPr>
        <w:t>ing</w:t>
      </w:r>
      <w:r w:rsidR="00FB394C" w:rsidRPr="00C94218">
        <w:rPr>
          <w:rFonts w:ascii="Verdana" w:hAnsi="Verdana"/>
          <w:sz w:val="20"/>
          <w:szCs w:val="20"/>
        </w:rPr>
        <w:t xml:space="preserve"> patient</w:t>
      </w:r>
      <w:r w:rsidRPr="00C94218">
        <w:rPr>
          <w:rFonts w:ascii="Verdana" w:hAnsi="Verdana"/>
          <w:sz w:val="20"/>
          <w:szCs w:val="20"/>
        </w:rPr>
        <w:t>s</w:t>
      </w:r>
      <w:r w:rsidR="00FB394C" w:rsidRPr="00C94218">
        <w:rPr>
          <w:rFonts w:ascii="Verdana" w:hAnsi="Verdana"/>
          <w:sz w:val="20"/>
          <w:szCs w:val="20"/>
        </w:rPr>
        <w:t xml:space="preserve"> to administer the correct dose at the </w:t>
      </w:r>
      <w:r w:rsidRPr="00C94218">
        <w:rPr>
          <w:rFonts w:ascii="Verdana" w:hAnsi="Verdana"/>
          <w:sz w:val="20"/>
          <w:szCs w:val="20"/>
        </w:rPr>
        <w:t>proper</w:t>
      </w:r>
      <w:r w:rsidR="00FB394C" w:rsidRPr="00C94218">
        <w:rPr>
          <w:rFonts w:ascii="Verdana" w:hAnsi="Verdana"/>
          <w:sz w:val="20"/>
          <w:szCs w:val="20"/>
        </w:rPr>
        <w:t xml:space="preserve"> date and time</w:t>
      </w:r>
      <w:r w:rsidRPr="00C94218">
        <w:rPr>
          <w:rFonts w:ascii="Verdana" w:hAnsi="Verdana"/>
          <w:sz w:val="20"/>
          <w:szCs w:val="20"/>
        </w:rPr>
        <w:t>.</w:t>
      </w:r>
    </w:p>
    <w:p w14:paraId="08FFDAAA" w14:textId="77777777" w:rsidR="00443E7D" w:rsidRPr="00C94218" w:rsidRDefault="00443E7D" w:rsidP="00443E7D">
      <w:pPr>
        <w:rPr>
          <w:rFonts w:ascii="Verdana" w:hAnsi="Verdana"/>
          <w:sz w:val="20"/>
          <w:szCs w:val="20"/>
        </w:rPr>
      </w:pPr>
    </w:p>
    <w:p w14:paraId="271C22A8" w14:textId="6458F0D6" w:rsidR="00DB3546" w:rsidRPr="00C94218" w:rsidRDefault="00515A1E" w:rsidP="00DB3546">
      <w:pPr>
        <w:spacing w:line="360" w:lineRule="auto"/>
        <w:rPr>
          <w:rFonts w:ascii="Verdana" w:hAnsi="Verdana" w:cs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>“</w:t>
      </w:r>
      <w:r w:rsidR="006A718F">
        <w:rPr>
          <w:rFonts w:ascii="Verdana" w:hAnsi="Verdana" w:cs="Verdana"/>
          <w:sz w:val="20"/>
          <w:szCs w:val="20"/>
        </w:rPr>
        <w:t>Medications administered by injection</w:t>
      </w:r>
      <w:r w:rsidR="00A45BAC" w:rsidRPr="00C94218">
        <w:rPr>
          <w:rFonts w:ascii="Verdana" w:hAnsi="Verdana" w:cs="Verdana"/>
          <w:sz w:val="20"/>
          <w:szCs w:val="20"/>
        </w:rPr>
        <w:t xml:space="preserve"> are often high-value and </w:t>
      </w:r>
      <w:r w:rsidR="006A718F">
        <w:rPr>
          <w:rFonts w:ascii="Verdana" w:hAnsi="Verdana" w:cs="Verdana"/>
          <w:sz w:val="20"/>
          <w:szCs w:val="20"/>
        </w:rPr>
        <w:t>delivered in fragile primary packaging such as vials or prefilled syringes.</w:t>
      </w:r>
      <w:r w:rsidR="00A45BAC" w:rsidRPr="00C94218">
        <w:rPr>
          <w:rFonts w:ascii="Verdana" w:hAnsi="Verdana" w:cs="Verdana"/>
          <w:sz w:val="20"/>
          <w:szCs w:val="20"/>
        </w:rPr>
        <w:t xml:space="preserve"> </w:t>
      </w:r>
      <w:r w:rsidR="006A718F">
        <w:rPr>
          <w:rFonts w:ascii="Verdana" w:hAnsi="Verdana" w:cs="Verdana"/>
          <w:sz w:val="20"/>
          <w:szCs w:val="20"/>
        </w:rPr>
        <w:t>Injectable products</w:t>
      </w:r>
      <w:r w:rsidR="00A45BAC" w:rsidRPr="00C94218">
        <w:rPr>
          <w:rFonts w:ascii="Verdana" w:hAnsi="Verdana" w:cs="Verdana"/>
          <w:sz w:val="20"/>
          <w:szCs w:val="20"/>
        </w:rPr>
        <w:t xml:space="preserve"> </w:t>
      </w:r>
      <w:r w:rsidR="006A718F">
        <w:rPr>
          <w:rFonts w:ascii="Verdana" w:hAnsi="Verdana" w:cs="Verdana"/>
          <w:sz w:val="20"/>
          <w:szCs w:val="20"/>
        </w:rPr>
        <w:t>require</w:t>
      </w:r>
      <w:r w:rsidR="00A45BAC" w:rsidRPr="00C94218">
        <w:rPr>
          <w:rFonts w:ascii="Verdana" w:hAnsi="Verdana" w:cs="Verdana"/>
          <w:sz w:val="20"/>
          <w:szCs w:val="20"/>
        </w:rPr>
        <w:t xml:space="preserve"> protection that recognizes and respects these circumstances</w:t>
      </w:r>
      <w:r w:rsidR="00A45BAC">
        <w:rPr>
          <w:rFonts w:ascii="Verdana" w:hAnsi="Verdana" w:cs="Verdana"/>
          <w:sz w:val="20"/>
          <w:szCs w:val="20"/>
        </w:rPr>
        <w:t xml:space="preserve">, and that can accommodate the various shapes, sizes and special features </w:t>
      </w:r>
      <w:r w:rsidR="006A718F">
        <w:rPr>
          <w:rFonts w:ascii="Verdana" w:hAnsi="Verdana" w:cs="Verdana"/>
          <w:sz w:val="20"/>
          <w:szCs w:val="20"/>
        </w:rPr>
        <w:t>our</w:t>
      </w:r>
      <w:r w:rsidR="00227C44">
        <w:rPr>
          <w:rFonts w:ascii="Verdana" w:hAnsi="Verdana" w:cs="Verdana"/>
          <w:sz w:val="20"/>
          <w:szCs w:val="20"/>
        </w:rPr>
        <w:t xml:space="preserve"> </w:t>
      </w:r>
      <w:r w:rsidR="006A718F">
        <w:rPr>
          <w:rFonts w:ascii="Verdana" w:hAnsi="Verdana" w:cs="Verdana"/>
          <w:sz w:val="20"/>
          <w:szCs w:val="20"/>
        </w:rPr>
        <w:t>packaging sol</w:t>
      </w:r>
      <w:bookmarkStart w:id="0" w:name="_GoBack"/>
      <w:bookmarkEnd w:id="0"/>
      <w:r w:rsidR="006A718F">
        <w:rPr>
          <w:rFonts w:ascii="Verdana" w:hAnsi="Verdana" w:cs="Verdana"/>
          <w:sz w:val="20"/>
          <w:szCs w:val="20"/>
        </w:rPr>
        <w:t>utions</w:t>
      </w:r>
      <w:r w:rsidR="00A45BAC">
        <w:rPr>
          <w:rFonts w:ascii="Verdana" w:hAnsi="Verdana" w:cs="Verdana"/>
          <w:sz w:val="20"/>
          <w:szCs w:val="20"/>
        </w:rPr>
        <w:t xml:space="preserve"> </w:t>
      </w:r>
      <w:r w:rsidR="006A718F">
        <w:rPr>
          <w:rFonts w:ascii="Verdana" w:hAnsi="Verdana" w:cs="Verdana"/>
          <w:sz w:val="20"/>
          <w:szCs w:val="20"/>
        </w:rPr>
        <w:t>provide</w:t>
      </w:r>
      <w:r w:rsidR="00A45BAC">
        <w:rPr>
          <w:rFonts w:ascii="Verdana" w:hAnsi="Verdana" w:cs="Verdana"/>
          <w:sz w:val="20"/>
          <w:szCs w:val="20"/>
        </w:rPr>
        <w:t>,”</w:t>
      </w:r>
      <w:r w:rsidR="00A45BAC" w:rsidRPr="00C94218">
        <w:rPr>
          <w:rFonts w:ascii="Verdana" w:hAnsi="Verdana"/>
          <w:sz w:val="20"/>
          <w:szCs w:val="20"/>
        </w:rPr>
        <w:t xml:space="preserve"> </w:t>
      </w:r>
      <w:r w:rsidR="00A45BAC" w:rsidRPr="00C94218">
        <w:rPr>
          <w:rFonts w:ascii="Verdana" w:hAnsi="Verdana" w:cs="Verdana"/>
          <w:sz w:val="20"/>
          <w:szCs w:val="20"/>
        </w:rPr>
        <w:t xml:space="preserve">said Ward Smith, Director of Marketing &amp; Business Development at Keystone Folding Box Co. </w:t>
      </w:r>
      <w:r w:rsidR="00A45BAC">
        <w:rPr>
          <w:rFonts w:ascii="Verdana" w:hAnsi="Verdana" w:cs="Verdana"/>
          <w:sz w:val="20"/>
          <w:szCs w:val="20"/>
        </w:rPr>
        <w:t>“</w:t>
      </w:r>
      <w:r w:rsidRPr="00C94218">
        <w:rPr>
          <w:rFonts w:ascii="Verdana" w:hAnsi="Verdana"/>
          <w:sz w:val="20"/>
          <w:szCs w:val="20"/>
        </w:rPr>
        <w:t>Our</w:t>
      </w:r>
      <w:r w:rsidR="00A45BAC">
        <w:rPr>
          <w:rFonts w:ascii="Verdana" w:hAnsi="Verdana"/>
          <w:sz w:val="20"/>
          <w:szCs w:val="20"/>
        </w:rPr>
        <w:t xml:space="preserve"> diverse, customizable range of</w:t>
      </w:r>
      <w:r w:rsidRPr="00C94218">
        <w:rPr>
          <w:rFonts w:ascii="Verdana" w:hAnsi="Verdana"/>
          <w:sz w:val="20"/>
          <w:szCs w:val="20"/>
        </w:rPr>
        <w:t xml:space="preserve"> secondary packaging solutions for injectable products exemplif</w:t>
      </w:r>
      <w:r w:rsidR="00A45BAC">
        <w:rPr>
          <w:rFonts w:ascii="Verdana" w:hAnsi="Verdana"/>
          <w:sz w:val="20"/>
          <w:szCs w:val="20"/>
        </w:rPr>
        <w:t>ies</w:t>
      </w:r>
      <w:r w:rsidRPr="00C94218">
        <w:rPr>
          <w:rFonts w:ascii="Verdana" w:hAnsi="Verdana"/>
          <w:sz w:val="20"/>
          <w:szCs w:val="20"/>
        </w:rPr>
        <w:t xml:space="preserve"> Keystone’s commitment to ensuring product protection and enhanced consumer experiences in every design</w:t>
      </w:r>
      <w:r w:rsidR="00A45BAC">
        <w:rPr>
          <w:rFonts w:ascii="Verdana" w:hAnsi="Verdana"/>
          <w:sz w:val="20"/>
          <w:szCs w:val="20"/>
        </w:rPr>
        <w:t>.</w:t>
      </w:r>
      <w:r w:rsidRPr="00C94218">
        <w:rPr>
          <w:rFonts w:ascii="Verdana" w:hAnsi="Verdana" w:cs="Verdana"/>
          <w:sz w:val="20"/>
          <w:szCs w:val="20"/>
        </w:rPr>
        <w:t>”</w:t>
      </w:r>
      <w:r w:rsidR="00DB3546" w:rsidRPr="00C94218">
        <w:rPr>
          <w:rFonts w:ascii="Verdana" w:hAnsi="Verdana" w:cs="Verdana"/>
          <w:sz w:val="20"/>
          <w:szCs w:val="20"/>
        </w:rPr>
        <w:t xml:space="preserve"> </w:t>
      </w:r>
    </w:p>
    <w:p w14:paraId="7D6A5A7F" w14:textId="77777777" w:rsidR="00DB3546" w:rsidRPr="00E477B6" w:rsidRDefault="00DB3546" w:rsidP="00DB3546">
      <w:pPr>
        <w:rPr>
          <w:rFonts w:ascii="Verdana" w:hAnsi="Verdana" w:cs="Verdana"/>
          <w:sz w:val="20"/>
          <w:szCs w:val="20"/>
        </w:rPr>
      </w:pPr>
    </w:p>
    <w:p w14:paraId="741EC7AC" w14:textId="77777777" w:rsidR="00DB3546" w:rsidRPr="00E477B6" w:rsidRDefault="00DB3546" w:rsidP="00DB3546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>###</w:t>
      </w:r>
    </w:p>
    <w:p w14:paraId="5BDF1655" w14:textId="77777777" w:rsidR="00DB3546" w:rsidRPr="00E477B6" w:rsidRDefault="00DB3546" w:rsidP="00DB3546">
      <w:pPr>
        <w:rPr>
          <w:rFonts w:ascii="Verdana" w:hAnsi="Verdana" w:cs="Verdana"/>
          <w:b/>
          <w:bCs/>
          <w:sz w:val="20"/>
          <w:szCs w:val="20"/>
        </w:rPr>
      </w:pPr>
    </w:p>
    <w:p w14:paraId="6ACD67FF" w14:textId="77777777" w:rsidR="0081464E" w:rsidRPr="00E477B6" w:rsidRDefault="0081464E" w:rsidP="0081464E">
      <w:pPr>
        <w:spacing w:line="264" w:lineRule="auto"/>
        <w:rPr>
          <w:rFonts w:ascii="Verdana" w:hAnsi="Verdana" w:cs="Verdana"/>
          <w:b/>
          <w:bCs/>
          <w:sz w:val="20"/>
          <w:szCs w:val="20"/>
        </w:rPr>
      </w:pPr>
      <w:r w:rsidRPr="00E477B6">
        <w:rPr>
          <w:rFonts w:ascii="Verdana" w:hAnsi="Verdana" w:cs="Verdana"/>
          <w:b/>
          <w:bCs/>
          <w:sz w:val="20"/>
          <w:szCs w:val="20"/>
        </w:rPr>
        <w:t>About Keystone Folding Box Co.</w:t>
      </w:r>
    </w:p>
    <w:p w14:paraId="651B7FE5" w14:textId="77777777" w:rsidR="0081464E" w:rsidRPr="00E477B6" w:rsidRDefault="0081464E" w:rsidP="0081464E">
      <w:pPr>
        <w:spacing w:before="60" w:line="288" w:lineRule="auto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While Keystone continues to be a leader in the manufacturing and design of paperboard packaging, they are also a design center and source for non-paperboard packaging components. To learn more about Keystone Folding Box Company, please contact Ward Smith at Keystone Folding Box Company, at (513) 871-4747, </w:t>
      </w:r>
      <w:hyperlink r:id="rId9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  <w:r w:rsidRPr="00E477B6">
        <w:rPr>
          <w:rFonts w:ascii="Verdana" w:hAnsi="Verdana" w:cs="Verdana"/>
          <w:sz w:val="20"/>
          <w:szCs w:val="20"/>
        </w:rPr>
        <w:t xml:space="preserve"> or visit </w:t>
      </w:r>
      <w:hyperlink r:id="rId10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www.keyboxco.com</w:t>
        </w:r>
      </w:hyperlink>
      <w:r w:rsidRPr="00E477B6">
        <w:rPr>
          <w:rFonts w:ascii="Verdana" w:hAnsi="Verdana" w:cs="Verdana"/>
          <w:sz w:val="20"/>
          <w:szCs w:val="20"/>
        </w:rPr>
        <w:t>.</w:t>
      </w:r>
    </w:p>
    <w:p w14:paraId="4B1CB36C" w14:textId="77777777" w:rsidR="00DB3546" w:rsidRDefault="00DB3546" w:rsidP="0081464E">
      <w:pPr>
        <w:spacing w:line="264" w:lineRule="auto"/>
      </w:pPr>
    </w:p>
    <w:sectPr w:rsidR="00DB3546" w:rsidSect="00515A1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 Bold">
    <w:panose1 w:val="020B08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24958"/>
    <w:multiLevelType w:val="hybridMultilevel"/>
    <w:tmpl w:val="F7C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2762"/>
    <w:multiLevelType w:val="hybridMultilevel"/>
    <w:tmpl w:val="2890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9"/>
    <w:rsid w:val="00227C44"/>
    <w:rsid w:val="00325678"/>
    <w:rsid w:val="00335BE1"/>
    <w:rsid w:val="00364886"/>
    <w:rsid w:val="003B5ACB"/>
    <w:rsid w:val="00443E7D"/>
    <w:rsid w:val="00466BDB"/>
    <w:rsid w:val="00515A1E"/>
    <w:rsid w:val="005953C0"/>
    <w:rsid w:val="005B60F4"/>
    <w:rsid w:val="006A718F"/>
    <w:rsid w:val="0079170A"/>
    <w:rsid w:val="007D0A75"/>
    <w:rsid w:val="0081464E"/>
    <w:rsid w:val="00826DDC"/>
    <w:rsid w:val="00A45BAC"/>
    <w:rsid w:val="00A85F13"/>
    <w:rsid w:val="00B0497B"/>
    <w:rsid w:val="00BB7B5F"/>
    <w:rsid w:val="00C15487"/>
    <w:rsid w:val="00C24AF6"/>
    <w:rsid w:val="00C67952"/>
    <w:rsid w:val="00C72C69"/>
    <w:rsid w:val="00C90E43"/>
    <w:rsid w:val="00C94218"/>
    <w:rsid w:val="00D63E0D"/>
    <w:rsid w:val="00DB3546"/>
    <w:rsid w:val="00FB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CE2B"/>
  <w15:docId w15:val="{6A6E645E-489F-45D5-B844-0ABD0CE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69"/>
  </w:style>
  <w:style w:type="paragraph" w:styleId="Heading1">
    <w:name w:val="heading 1"/>
    <w:basedOn w:val="Normal"/>
    <w:next w:val="Normal"/>
    <w:link w:val="Heading1Char"/>
    <w:uiPriority w:val="9"/>
    <w:qFormat/>
    <w:rsid w:val="00443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3E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56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39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B39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464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218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218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.smith@keyboxc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ybox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rd.smith@keybox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BC5B0-3196-4C46-B3E2-8DFB75C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568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Smith</dc:creator>
  <cp:keywords/>
  <dc:description/>
  <cp:lastModifiedBy>Christopher Dale</cp:lastModifiedBy>
  <cp:revision>2</cp:revision>
  <dcterms:created xsi:type="dcterms:W3CDTF">2023-03-30T13:50:00Z</dcterms:created>
  <dcterms:modified xsi:type="dcterms:W3CDTF">2023-03-30T13:50:00Z</dcterms:modified>
</cp:coreProperties>
</file>