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7A16F" w14:textId="1C33B3B4" w:rsidR="00B873DD" w:rsidRPr="00EF1E00" w:rsidRDefault="00B873DD" w:rsidP="00B873DD">
      <w:pPr>
        <w:rPr>
          <w:rFonts w:ascii="Arial" w:hAnsi="Arial" w:cs="Arial"/>
          <w:b/>
          <w:bCs/>
          <w:sz w:val="42"/>
          <w:szCs w:val="42"/>
        </w:rPr>
      </w:pPr>
      <w:r w:rsidRPr="00EF1E00">
        <w:rPr>
          <w:rFonts w:ascii="Arial" w:hAnsi="Arial" w:cs="Arial"/>
          <w:b/>
          <w:bCs/>
          <w:sz w:val="42"/>
          <w:szCs w:val="42"/>
        </w:rPr>
        <w:t xml:space="preserve">Amcor supports beverage brands preparing for </w:t>
      </w:r>
      <w:r w:rsidR="0012034F" w:rsidRPr="001C7EDE">
        <w:rPr>
          <w:rFonts w:ascii="Arial" w:hAnsi="Arial" w:cs="Arial"/>
          <w:b/>
          <w:bCs/>
          <w:sz w:val="42"/>
          <w:szCs w:val="42"/>
        </w:rPr>
        <w:t>reuse</w:t>
      </w:r>
      <w:r w:rsidRPr="00EF1E00">
        <w:rPr>
          <w:rFonts w:ascii="Arial" w:hAnsi="Arial" w:cs="Arial"/>
          <w:b/>
          <w:bCs/>
          <w:sz w:val="42"/>
          <w:szCs w:val="42"/>
        </w:rPr>
        <w:t xml:space="preserve"> growth</w:t>
      </w:r>
    </w:p>
    <w:p w14:paraId="74DDD685" w14:textId="77777777" w:rsidR="00B873DD" w:rsidRDefault="00B873DD" w:rsidP="00B873DD">
      <w:pPr>
        <w:spacing w:after="0"/>
        <w:rPr>
          <w:rFonts w:cstheme="minorHAnsi"/>
        </w:rPr>
      </w:pPr>
    </w:p>
    <w:p w14:paraId="2FD16DDE" w14:textId="1E6474EB" w:rsidR="00D158BA" w:rsidRPr="00D158BA" w:rsidRDefault="00B873DD" w:rsidP="00B873DD">
      <w:pPr>
        <w:spacing w:after="0"/>
        <w:rPr>
          <w:rFonts w:cstheme="minorHAnsi"/>
          <w:sz w:val="22"/>
          <w:szCs w:val="22"/>
          <w:lang w:val="en-US"/>
        </w:rPr>
      </w:pPr>
      <w:r w:rsidRPr="00D158BA">
        <w:rPr>
          <w:rFonts w:cstheme="minorHAnsi"/>
          <w:b/>
          <w:bCs/>
          <w:sz w:val="22"/>
          <w:szCs w:val="22"/>
          <w:lang w:val="en-US"/>
        </w:rPr>
        <w:t xml:space="preserve">ZURICH, </w:t>
      </w:r>
      <w:r w:rsidR="00A31AA3">
        <w:rPr>
          <w:rFonts w:cstheme="minorHAnsi"/>
          <w:b/>
          <w:bCs/>
          <w:sz w:val="22"/>
          <w:szCs w:val="22"/>
          <w:lang w:val="en-US"/>
        </w:rPr>
        <w:t>July</w:t>
      </w:r>
      <w:r w:rsidR="00DF61DA">
        <w:rPr>
          <w:rFonts w:cstheme="minorHAnsi"/>
          <w:b/>
          <w:bCs/>
          <w:sz w:val="22"/>
          <w:szCs w:val="22"/>
          <w:lang w:val="en-US"/>
        </w:rPr>
        <w:t xml:space="preserve"> </w:t>
      </w:r>
      <w:r w:rsidR="00664B7F">
        <w:rPr>
          <w:rFonts w:cstheme="minorHAnsi"/>
          <w:b/>
          <w:bCs/>
          <w:sz w:val="22"/>
          <w:szCs w:val="22"/>
          <w:lang w:val="en-US"/>
        </w:rPr>
        <w:t>7</w:t>
      </w:r>
      <w:r w:rsidRPr="00D158BA">
        <w:rPr>
          <w:rFonts w:cstheme="minorHAnsi"/>
          <w:b/>
          <w:bCs/>
          <w:sz w:val="22"/>
          <w:szCs w:val="22"/>
          <w:lang w:val="en-US"/>
        </w:rPr>
        <w:t>, 2026</w:t>
      </w:r>
      <w:r w:rsidRPr="00D158BA">
        <w:rPr>
          <w:rFonts w:cstheme="minorHAnsi"/>
          <w:sz w:val="22"/>
          <w:szCs w:val="22"/>
          <w:lang w:val="en-US"/>
        </w:rPr>
        <w:t xml:space="preserve"> — Amcor (NYSE: AMCR, ASX: AMC), a global leader in developing and producing responsible packaging solutions, is advising beverage producers to reassess their choice of closures ahead of the EU’s Packaging and Packaging Waste Regulation (PPWR) and a market increasingly shaped by reuse and return systems.</w:t>
      </w:r>
    </w:p>
    <w:p w14:paraId="4A8A89A4" w14:textId="33F14592" w:rsidR="00D158BA" w:rsidRPr="00D158BA" w:rsidRDefault="00B873DD" w:rsidP="00B873DD">
      <w:pPr>
        <w:spacing w:after="0"/>
        <w:rPr>
          <w:rFonts w:cstheme="minorHAnsi"/>
          <w:sz w:val="22"/>
          <w:szCs w:val="22"/>
          <w:lang w:val="en-US"/>
        </w:rPr>
      </w:pPr>
      <w:r w:rsidRPr="00D158BA">
        <w:rPr>
          <w:rFonts w:cstheme="minorHAnsi"/>
          <w:sz w:val="22"/>
          <w:szCs w:val="22"/>
          <w:lang w:val="en-US"/>
        </w:rPr>
        <w:t>The PPWR framework includes reuse targets for beverages, including a requirement that 10% of alcoholic and non</w:t>
      </w:r>
      <w:r w:rsidRPr="00D158BA">
        <w:rPr>
          <w:rFonts w:cstheme="minorHAnsi"/>
          <w:sz w:val="22"/>
          <w:szCs w:val="22"/>
          <w:lang w:val="en-US"/>
        </w:rPr>
        <w:noBreakHyphen/>
        <w:t xml:space="preserve">alcoholic beverages are made available in reusable packaging within a system for reuse by 1 January 2030, increasing to 40% by 2040. </w:t>
      </w:r>
    </w:p>
    <w:p w14:paraId="634E960C" w14:textId="4B1421C5" w:rsidR="00B873DD" w:rsidRPr="00D158BA" w:rsidRDefault="00B873DD" w:rsidP="00B873DD">
      <w:pPr>
        <w:spacing w:after="0"/>
        <w:rPr>
          <w:rFonts w:cstheme="minorHAnsi"/>
          <w:sz w:val="22"/>
          <w:szCs w:val="22"/>
          <w:lang w:val="en-US"/>
        </w:rPr>
      </w:pPr>
      <w:r w:rsidRPr="00D158BA">
        <w:rPr>
          <w:rFonts w:cstheme="minorHAnsi"/>
          <w:sz w:val="22"/>
          <w:szCs w:val="22"/>
          <w:lang w:val="en-US"/>
        </w:rPr>
        <w:t>At the same time, deposit return schemes (DRS) are being introduced or expanded in multiple markets as a practical way to support return and recovery. A DRS typically works by applying a small, refundable deposit to beverage containers, which is returned to consumers when empty containers are brought back to a designated return point, helping increase collection</w:t>
      </w:r>
      <w:r w:rsidR="007D47E0">
        <w:rPr>
          <w:rFonts w:cstheme="minorHAnsi"/>
          <w:sz w:val="22"/>
          <w:szCs w:val="22"/>
          <w:lang w:val="en-US"/>
        </w:rPr>
        <w:t xml:space="preserve"> </w:t>
      </w:r>
      <w:r w:rsidR="002A4138">
        <w:rPr>
          <w:rFonts w:cstheme="minorHAnsi"/>
          <w:sz w:val="22"/>
          <w:szCs w:val="22"/>
          <w:lang w:val="en-US"/>
        </w:rPr>
        <w:t xml:space="preserve">rates </w:t>
      </w:r>
      <w:r w:rsidRPr="00D158BA">
        <w:rPr>
          <w:rFonts w:cstheme="minorHAnsi"/>
          <w:sz w:val="22"/>
          <w:szCs w:val="22"/>
          <w:lang w:val="en-US"/>
        </w:rPr>
        <w:t xml:space="preserve">and improve the quality of recovered material streams. </w:t>
      </w:r>
    </w:p>
    <w:p w14:paraId="58DF3EDF" w14:textId="073A3E39" w:rsidR="00B873DD" w:rsidRPr="00D158BA" w:rsidRDefault="00B873DD" w:rsidP="00B873DD">
      <w:pPr>
        <w:rPr>
          <w:rFonts w:cstheme="minorHAnsi"/>
          <w:sz w:val="22"/>
          <w:szCs w:val="22"/>
          <w:lang w:val="en-US"/>
        </w:rPr>
      </w:pPr>
      <w:r w:rsidRPr="00D158BA">
        <w:rPr>
          <w:rFonts w:cstheme="minorHAnsi"/>
          <w:b/>
          <w:bCs/>
          <w:sz w:val="22"/>
          <w:szCs w:val="22"/>
          <w:lang w:val="en-US"/>
        </w:rPr>
        <w:t>Uli Kobert</w:t>
      </w:r>
      <w:r w:rsidRPr="00D158BA">
        <w:rPr>
          <w:rFonts w:cstheme="minorHAnsi"/>
          <w:sz w:val="22"/>
          <w:szCs w:val="22"/>
          <w:lang w:val="en-US"/>
        </w:rPr>
        <w:t xml:space="preserve">, Product Line Director at Amcor, said: “PPWR is accelerating the shift towards reuse systems, and that has real implications for packaging choices. Amcor supports customers with closure solutions for </w:t>
      </w:r>
      <w:r w:rsidR="0012034F">
        <w:rPr>
          <w:rFonts w:cstheme="minorHAnsi"/>
          <w:sz w:val="22"/>
          <w:szCs w:val="22"/>
          <w:lang w:val="en-US"/>
        </w:rPr>
        <w:t xml:space="preserve">reusable </w:t>
      </w:r>
      <w:r w:rsidRPr="00D158BA">
        <w:rPr>
          <w:rFonts w:cstheme="minorHAnsi"/>
          <w:sz w:val="22"/>
          <w:szCs w:val="22"/>
          <w:lang w:val="en-US"/>
        </w:rPr>
        <w:t>PET and glass bottles, alongside technical expertise, to help them prepare for deposit return schemes and the operational realities of reuse, delivering responsible packaging solutions without compromising</w:t>
      </w:r>
      <w:r w:rsidR="002A4138">
        <w:rPr>
          <w:rFonts w:cstheme="minorHAnsi"/>
          <w:sz w:val="22"/>
          <w:szCs w:val="22"/>
          <w:lang w:val="en-US"/>
        </w:rPr>
        <w:t xml:space="preserve"> on</w:t>
      </w:r>
      <w:r w:rsidRPr="00D158BA">
        <w:rPr>
          <w:rFonts w:cstheme="minorHAnsi"/>
          <w:sz w:val="22"/>
          <w:szCs w:val="22"/>
          <w:lang w:val="en-US"/>
        </w:rPr>
        <w:t xml:space="preserve"> performance”</w:t>
      </w:r>
      <w:r w:rsidR="00EB3CA7">
        <w:rPr>
          <w:rFonts w:cstheme="minorHAnsi"/>
          <w:sz w:val="22"/>
          <w:szCs w:val="22"/>
          <w:lang w:val="en-US"/>
        </w:rPr>
        <w:t>.</w:t>
      </w:r>
    </w:p>
    <w:p w14:paraId="077BDC2A" w14:textId="124A303D" w:rsidR="00B873DD" w:rsidRPr="00D158BA" w:rsidRDefault="00B873DD" w:rsidP="00B873DD">
      <w:pPr>
        <w:rPr>
          <w:rFonts w:cstheme="minorHAnsi"/>
          <w:sz w:val="22"/>
          <w:szCs w:val="22"/>
          <w:lang w:val="en-US"/>
        </w:rPr>
      </w:pPr>
      <w:r w:rsidRPr="00D158BA">
        <w:rPr>
          <w:rFonts w:cstheme="minorHAnsi"/>
          <w:sz w:val="22"/>
          <w:szCs w:val="22"/>
          <w:lang w:val="en-US"/>
        </w:rPr>
        <w:t>For beverage brands moving towards reuse models, packaging performance requirements also change. Reusable containers are exposed to repeated handling and processing stresses, such as washing chemicals, temperature shifts and repeated filling cycle</w:t>
      </w:r>
      <w:r w:rsidR="00183DAB">
        <w:rPr>
          <w:rFonts w:cstheme="minorHAnsi"/>
          <w:sz w:val="22"/>
          <w:szCs w:val="22"/>
          <w:lang w:val="en-US"/>
        </w:rPr>
        <w:t>s</w:t>
      </w:r>
      <w:r w:rsidRPr="00D158BA">
        <w:rPr>
          <w:rFonts w:cstheme="minorHAnsi"/>
          <w:sz w:val="22"/>
          <w:szCs w:val="22"/>
          <w:lang w:val="en-US"/>
        </w:rPr>
        <w:t>, which can increase wear in functional areas and raise the bar for consistent sealing performance</w:t>
      </w:r>
      <w:r w:rsidR="002A4138">
        <w:rPr>
          <w:rFonts w:cstheme="minorHAnsi"/>
          <w:sz w:val="22"/>
          <w:szCs w:val="22"/>
          <w:lang w:val="en-US"/>
        </w:rPr>
        <w:t xml:space="preserve"> over time</w:t>
      </w:r>
      <w:r w:rsidR="007D47E0">
        <w:rPr>
          <w:rFonts w:cstheme="minorHAnsi"/>
          <w:sz w:val="22"/>
          <w:szCs w:val="22"/>
          <w:lang w:val="en-US"/>
        </w:rPr>
        <w:t>.</w:t>
      </w:r>
    </w:p>
    <w:p w14:paraId="35B9E0FE" w14:textId="43294CBB" w:rsidR="00B873DD" w:rsidRPr="00D158BA" w:rsidRDefault="00B873DD" w:rsidP="00B873DD">
      <w:pPr>
        <w:rPr>
          <w:rFonts w:cstheme="minorHAnsi"/>
          <w:sz w:val="22"/>
          <w:szCs w:val="22"/>
          <w:lang w:val="en-US"/>
        </w:rPr>
      </w:pPr>
      <w:r w:rsidRPr="00D158BA">
        <w:rPr>
          <w:rFonts w:cstheme="minorHAnsi"/>
          <w:sz w:val="22"/>
          <w:szCs w:val="22"/>
          <w:lang w:val="en-US"/>
        </w:rPr>
        <w:t xml:space="preserve">In established schemes, return performance can be very high. Germany is frequently referenced as one of the world’s highest-performing deposit systems, with </w:t>
      </w:r>
      <w:r w:rsidR="002A4138">
        <w:rPr>
          <w:rFonts w:cstheme="minorHAnsi"/>
          <w:sz w:val="22"/>
          <w:szCs w:val="22"/>
          <w:lang w:val="en-US"/>
        </w:rPr>
        <w:t>widely cit</w:t>
      </w:r>
      <w:r w:rsidR="006A5957">
        <w:rPr>
          <w:rFonts w:cstheme="minorHAnsi"/>
          <w:sz w:val="22"/>
          <w:szCs w:val="22"/>
          <w:lang w:val="en-US"/>
        </w:rPr>
        <w:t xml:space="preserve">ed figures indicating </w:t>
      </w:r>
      <w:r w:rsidRPr="00D158BA">
        <w:rPr>
          <w:rFonts w:cstheme="minorHAnsi"/>
          <w:sz w:val="22"/>
          <w:szCs w:val="22"/>
          <w:lang w:val="en-US"/>
        </w:rPr>
        <w:t>a 98% return rate for eligible single</w:t>
      </w:r>
      <w:r w:rsidRPr="00D158BA">
        <w:rPr>
          <w:rFonts w:cstheme="minorHAnsi"/>
          <w:sz w:val="22"/>
          <w:szCs w:val="22"/>
          <w:lang w:val="en-US"/>
        </w:rPr>
        <w:noBreakHyphen/>
        <w:t xml:space="preserve">use drink containers, supported by convenient return locations and a meaningful deposit value. </w:t>
      </w:r>
    </w:p>
    <w:p w14:paraId="68C5A741" w14:textId="4E794FE0" w:rsidR="00F93167" w:rsidRDefault="00B873DD" w:rsidP="00915849">
      <w:pPr>
        <w:rPr>
          <w:rFonts w:cstheme="minorHAnsi"/>
          <w:sz w:val="22"/>
          <w:szCs w:val="22"/>
          <w:lang w:val="en-US"/>
        </w:rPr>
      </w:pPr>
      <w:r w:rsidRPr="00D158BA">
        <w:rPr>
          <w:rFonts w:cstheme="minorHAnsi"/>
          <w:sz w:val="22"/>
          <w:szCs w:val="22"/>
          <w:lang w:val="en-US"/>
        </w:rPr>
        <w:t>Ends</w:t>
      </w:r>
    </w:p>
    <w:p w14:paraId="43476094" w14:textId="77777777" w:rsidR="00A529BA" w:rsidRPr="00821B22" w:rsidRDefault="00A529BA" w:rsidP="00F93167">
      <w:pPr>
        <w:spacing w:before="0" w:after="0"/>
        <w:rPr>
          <w:rFonts w:cstheme="minorHAnsi"/>
          <w:sz w:val="22"/>
          <w:szCs w:val="22"/>
          <w:lang w:val="en-US"/>
        </w:rPr>
      </w:pPr>
    </w:p>
    <w:p w14:paraId="1C86356D" w14:textId="77777777" w:rsidR="00C05966" w:rsidRPr="000876BD" w:rsidRDefault="00C05966" w:rsidP="00C05966">
      <w:pPr>
        <w:spacing w:before="0" w:after="0"/>
        <w:rPr>
          <w:rFonts w:asciiTheme="majorHAnsi" w:hAnsiTheme="majorHAnsi" w:cstheme="majorHAnsi"/>
          <w:b/>
          <w:bCs/>
          <w:sz w:val="22"/>
          <w:szCs w:val="22"/>
        </w:rPr>
      </w:pPr>
      <w:r w:rsidRPr="000876BD">
        <w:rPr>
          <w:rFonts w:asciiTheme="majorHAnsi" w:hAnsiTheme="majorHAnsi" w:cstheme="majorHAnsi"/>
          <w:b/>
          <w:bCs/>
          <w:sz w:val="22"/>
          <w:szCs w:val="22"/>
        </w:rPr>
        <w:t>About Amcor</w:t>
      </w:r>
    </w:p>
    <w:p w14:paraId="63BC6A24" w14:textId="77777777" w:rsidR="00C05966" w:rsidRPr="000876BD" w:rsidRDefault="00C05966" w:rsidP="00C05966">
      <w:pPr>
        <w:spacing w:before="0" w:after="0"/>
        <w:rPr>
          <w:rFonts w:asciiTheme="majorHAnsi" w:hAnsiTheme="majorHAnsi" w:cstheme="majorHAnsi"/>
          <w:sz w:val="22"/>
          <w:szCs w:val="22"/>
        </w:rPr>
      </w:pPr>
      <w:r w:rsidRPr="000876BD">
        <w:rPr>
          <w:rFonts w:asciiTheme="majorHAnsi" w:hAnsiTheme="majorHAnsi" w:cstheme="majorHAnsi"/>
          <w:sz w:val="22"/>
          <w:szCs w:val="22"/>
        </w:rPr>
        <w:t xml:space="preserve">Amcor is the global leader in developing and producing responsible consumer packaging and dispensing solutions across a variety of materials for nutrition, health, beauty and wellness categories. Our global product innovation and sustainability expertise enables us to solve packaging challenges around the world every day, producing a range of flexible packaging, rigid packaging, cartons and closures that are more sustainable, functional and appealing for our customers and their consumers. We are guided by our purpose of elevating customers, shaping lives and protecting the future. Supported by a commitment to safety, over 75,000 people generate $23 billion in annualized sales from operations that span over 400 locations in more than 40 countries. NYSE: AMCR; ASX: AMC </w:t>
      </w:r>
    </w:p>
    <w:p w14:paraId="4E40D539" w14:textId="77777777" w:rsidR="00C05966" w:rsidRPr="000876BD" w:rsidRDefault="00C05966" w:rsidP="00C05966">
      <w:pPr>
        <w:spacing w:before="0" w:after="0"/>
        <w:rPr>
          <w:rFonts w:asciiTheme="majorHAnsi" w:hAnsiTheme="majorHAnsi" w:cstheme="majorHAnsi"/>
          <w:sz w:val="22"/>
          <w:szCs w:val="22"/>
        </w:rPr>
      </w:pPr>
      <w:hyperlink r:id="rId11" w:history="1">
        <w:r w:rsidRPr="000876BD">
          <w:rPr>
            <w:rStyle w:val="Hyperlink"/>
            <w:rFonts w:asciiTheme="majorHAnsi" w:eastAsiaTheme="majorEastAsia" w:hAnsiTheme="majorHAnsi" w:cstheme="majorHAnsi"/>
            <w:sz w:val="22"/>
            <w:szCs w:val="22"/>
          </w:rPr>
          <w:t>www.amcor.com</w:t>
        </w:r>
      </w:hyperlink>
      <w:r w:rsidRPr="000876BD">
        <w:rPr>
          <w:rFonts w:asciiTheme="majorHAnsi" w:hAnsiTheme="majorHAnsi" w:cstheme="majorHAnsi"/>
          <w:sz w:val="22"/>
          <w:szCs w:val="22"/>
        </w:rPr>
        <w:t xml:space="preserve"> | </w:t>
      </w:r>
      <w:hyperlink r:id="rId12" w:tgtFrame="_blank" w:history="1">
        <w:r w:rsidRPr="000876BD">
          <w:rPr>
            <w:rStyle w:val="Hyperlink"/>
            <w:rFonts w:asciiTheme="majorHAnsi" w:eastAsiaTheme="majorEastAsia" w:hAnsiTheme="majorHAnsi" w:cstheme="majorHAnsi"/>
            <w:sz w:val="22"/>
            <w:szCs w:val="22"/>
          </w:rPr>
          <w:t>LinkedIn</w:t>
        </w:r>
      </w:hyperlink>
      <w:r w:rsidRPr="000876BD">
        <w:rPr>
          <w:rFonts w:asciiTheme="majorHAnsi" w:hAnsiTheme="majorHAnsi" w:cstheme="majorHAnsi"/>
          <w:sz w:val="22"/>
          <w:szCs w:val="22"/>
        </w:rPr>
        <w:t xml:space="preserve"> | </w:t>
      </w:r>
      <w:hyperlink r:id="rId13" w:history="1">
        <w:r w:rsidRPr="000876BD">
          <w:rPr>
            <w:rStyle w:val="Hyperlink"/>
            <w:rFonts w:asciiTheme="majorHAnsi" w:eastAsiaTheme="majorEastAsia" w:hAnsiTheme="majorHAnsi" w:cstheme="majorHAnsi"/>
            <w:sz w:val="22"/>
            <w:szCs w:val="22"/>
          </w:rPr>
          <w:t>YouTube</w:t>
        </w:r>
      </w:hyperlink>
      <w:r w:rsidRPr="000876BD">
        <w:rPr>
          <w:rFonts w:asciiTheme="majorHAnsi" w:hAnsiTheme="majorHAnsi" w:cstheme="majorHAnsi"/>
          <w:sz w:val="22"/>
          <w:szCs w:val="22"/>
        </w:rPr>
        <w:t> </w:t>
      </w:r>
    </w:p>
    <w:p w14:paraId="2840C5FF" w14:textId="77777777" w:rsidR="00C05966" w:rsidRPr="000876BD" w:rsidRDefault="00C05966" w:rsidP="00C05966">
      <w:pPr>
        <w:spacing w:before="0" w:after="0"/>
        <w:rPr>
          <w:rFonts w:asciiTheme="majorHAnsi" w:hAnsiTheme="majorHAnsi" w:cstheme="majorHAnsi"/>
          <w:szCs w:val="20"/>
          <w:lang w:val="en-US"/>
        </w:rPr>
      </w:pPr>
    </w:p>
    <w:p w14:paraId="57F89CC1" w14:textId="77777777" w:rsidR="00C05966" w:rsidRPr="000876BD" w:rsidRDefault="00C05966" w:rsidP="00C05966">
      <w:pPr>
        <w:spacing w:before="0" w:after="0"/>
        <w:rPr>
          <w:rFonts w:asciiTheme="majorHAnsi" w:hAnsiTheme="majorHAnsi" w:cstheme="majorHAnsi"/>
          <w:szCs w:val="20"/>
          <w:lang w:val="en-US"/>
        </w:rPr>
      </w:pPr>
    </w:p>
    <w:p w14:paraId="77A27F23" w14:textId="77777777" w:rsidR="00C05966" w:rsidRPr="000876BD" w:rsidRDefault="00C05966" w:rsidP="00C05966">
      <w:pPr>
        <w:spacing w:before="0" w:after="0"/>
        <w:rPr>
          <w:rFonts w:asciiTheme="majorHAnsi" w:hAnsiTheme="majorHAnsi" w:cstheme="majorHAnsi"/>
          <w:b/>
          <w:bCs/>
          <w:szCs w:val="20"/>
          <w:lang w:val="en-US"/>
        </w:rPr>
      </w:pPr>
      <w:r w:rsidRPr="000876BD">
        <w:rPr>
          <w:rFonts w:asciiTheme="majorHAnsi" w:hAnsiTheme="majorHAnsi" w:cstheme="majorHAnsi"/>
          <w:b/>
          <w:bCs/>
          <w:szCs w:val="20"/>
          <w:lang w:val="en-US"/>
        </w:rPr>
        <w:lastRenderedPageBreak/>
        <w:t>Contact</w:t>
      </w:r>
    </w:p>
    <w:p w14:paraId="4BF5F65C" w14:textId="4FC03311" w:rsidR="00FC056F" w:rsidRDefault="00D205A3" w:rsidP="00C05966">
      <w:pPr>
        <w:rPr>
          <w:rFonts w:asciiTheme="majorHAnsi" w:hAnsiTheme="majorHAnsi" w:cstheme="majorHAnsi"/>
          <w:szCs w:val="20"/>
          <w:lang w:val="en-US"/>
        </w:rPr>
      </w:pPr>
      <w:hyperlink r:id="rId14" w:history="1">
        <w:r w:rsidRPr="009465E7">
          <w:rPr>
            <w:rStyle w:val="Hyperlink"/>
            <w:rFonts w:asciiTheme="majorHAnsi" w:hAnsiTheme="majorHAnsi" w:cstheme="majorHAnsi"/>
            <w:szCs w:val="20"/>
            <w:lang w:val="en-US"/>
          </w:rPr>
          <w:t>amcor@nmpr.co.uk</w:t>
        </w:r>
      </w:hyperlink>
    </w:p>
    <w:p w14:paraId="00FB2044" w14:textId="77777777" w:rsidR="00D205A3" w:rsidRPr="00C05966" w:rsidRDefault="00D205A3" w:rsidP="00C05966">
      <w:pPr>
        <w:rPr>
          <w:lang w:val="en-US"/>
        </w:rPr>
      </w:pPr>
    </w:p>
    <w:sectPr w:rsidR="00D205A3" w:rsidRPr="00C05966" w:rsidSect="00F30844">
      <w:headerReference w:type="even" r:id="rId15"/>
      <w:headerReference w:type="default" r:id="rId16"/>
      <w:footerReference w:type="default" r:id="rId17"/>
      <w:headerReference w:type="first" r:id="rId18"/>
      <w:footerReference w:type="first" r:id="rId19"/>
      <w:pgSz w:w="11907" w:h="16839" w:code="9"/>
      <w:pgMar w:top="2880" w:right="992" w:bottom="1701" w:left="992" w:header="720" w:footer="70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95F3A" w14:textId="77777777" w:rsidR="005749B6" w:rsidRDefault="005749B6" w:rsidP="000E132A">
      <w:pPr>
        <w:spacing w:before="0" w:after="0"/>
      </w:pPr>
      <w:r>
        <w:separator/>
      </w:r>
    </w:p>
  </w:endnote>
  <w:endnote w:type="continuationSeparator" w:id="0">
    <w:p w14:paraId="0712A3E1" w14:textId="77777777" w:rsidR="005749B6" w:rsidRDefault="005749B6" w:rsidP="000E132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AmcorPro Light">
    <w:charset w:val="00"/>
    <w:family w:val="auto"/>
    <w:pitch w:val="variable"/>
    <w:sig w:usb0="A00000EF" w:usb1="5000205B" w:usb2="00000000" w:usb3="00000000" w:csb0="00000093" w:csb1="00000000"/>
  </w:font>
  <w:font w:name="AmcorPro SemiBold">
    <w:charset w:val="00"/>
    <w:family w:val="auto"/>
    <w:pitch w:val="variable"/>
    <w:sig w:usb0="A00000E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E00002AF" w:usb1="50006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13040" w14:textId="77777777" w:rsidR="00AA4491" w:rsidRPr="009839C2" w:rsidRDefault="00980407" w:rsidP="002A45A2">
    <w:pPr>
      <w:pStyle w:val="Footer"/>
      <w:jc w:val="right"/>
      <w:rPr>
        <w:rFonts w:cstheme="minorHAnsi"/>
        <w:color w:val="000000" w:themeColor="text1"/>
      </w:rPr>
    </w:pPr>
    <w:r w:rsidRPr="009839C2">
      <w:rPr>
        <w:rStyle w:val="SemiBold"/>
        <w:rFonts w:asciiTheme="minorHAnsi" w:hAnsiTheme="minorHAnsi" w:cstheme="minorHAnsi"/>
        <w:color w:val="000000" w:themeColor="text1"/>
      </w:rPr>
      <w:fldChar w:fldCharType="begin"/>
    </w:r>
    <w:r w:rsidR="00A94884" w:rsidRPr="009839C2">
      <w:rPr>
        <w:rStyle w:val="SemiBold"/>
        <w:rFonts w:asciiTheme="minorHAnsi" w:hAnsiTheme="minorHAnsi" w:cstheme="minorHAnsi"/>
        <w:color w:val="000000" w:themeColor="text1"/>
      </w:rPr>
      <w:instrText xml:space="preserve"> PAGE   \* MERGEFORMAT </w:instrText>
    </w:r>
    <w:r w:rsidRPr="009839C2">
      <w:rPr>
        <w:rStyle w:val="SemiBold"/>
        <w:rFonts w:asciiTheme="minorHAnsi" w:hAnsiTheme="minorHAnsi" w:cstheme="minorHAnsi"/>
        <w:color w:val="000000" w:themeColor="text1"/>
      </w:rPr>
      <w:fldChar w:fldCharType="separate"/>
    </w:r>
    <w:r w:rsidR="00347864" w:rsidRPr="009839C2">
      <w:rPr>
        <w:rStyle w:val="SemiBold"/>
        <w:rFonts w:asciiTheme="minorHAnsi" w:hAnsiTheme="minorHAnsi" w:cstheme="minorHAnsi"/>
        <w:noProof/>
        <w:color w:val="000000" w:themeColor="text1"/>
      </w:rPr>
      <w:t>2</w:t>
    </w:r>
    <w:r w:rsidRPr="009839C2">
      <w:rPr>
        <w:rStyle w:val="SemiBold"/>
        <w:rFonts w:asciiTheme="minorHAnsi" w:hAnsiTheme="minorHAnsi" w:cstheme="minorHAnsi"/>
        <w:color w:val="000000" w:themeColor="tex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22982"/>
      <w:docPartObj>
        <w:docPartGallery w:val="Page Numbers (Bottom of Page)"/>
        <w:docPartUnique/>
      </w:docPartObj>
    </w:sdtPr>
    <w:sdtContent>
      <w:p w14:paraId="53D5C3CA" w14:textId="77777777" w:rsidR="00AA4491" w:rsidRDefault="00D444DE" w:rsidP="00347864">
        <w:pPr>
          <w:pStyle w:val="Footer"/>
          <w:jc w:val="center"/>
        </w:pPr>
        <w:r>
          <w:fldChar w:fldCharType="begin"/>
        </w:r>
        <w:r>
          <w:instrText xml:space="preserve"> PAGE   \* MERGEFORMAT </w:instrText>
        </w:r>
        <w:r>
          <w:fldChar w:fldCharType="separate"/>
        </w:r>
        <w:r w:rsidR="00D25425">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BB121" w14:textId="77777777" w:rsidR="005749B6" w:rsidRDefault="005749B6" w:rsidP="000E132A">
      <w:pPr>
        <w:spacing w:before="0" w:after="0"/>
      </w:pPr>
      <w:r>
        <w:separator/>
      </w:r>
    </w:p>
  </w:footnote>
  <w:footnote w:type="continuationSeparator" w:id="0">
    <w:p w14:paraId="396E1CDC" w14:textId="77777777" w:rsidR="005749B6" w:rsidRDefault="005749B6" w:rsidP="000E132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5889" w14:textId="77777777" w:rsidR="00AA4491" w:rsidRDefault="00AA4491"/>
  <w:p w14:paraId="215B8884" w14:textId="77777777" w:rsidR="00AA4491" w:rsidRDefault="00AA4491">
    <w:r>
      <w:t>In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BE3CA" w14:textId="33DCA051" w:rsidR="00446060" w:rsidRDefault="00915849">
    <w:pPr>
      <w:pStyle w:val="Header"/>
    </w:pPr>
    <w:r>
      <w:rPr>
        <w:noProof/>
      </w:rPr>
      <mc:AlternateContent>
        <mc:Choice Requires="wps">
          <w:drawing>
            <wp:anchor distT="0" distB="0" distL="114300" distR="114300" simplePos="0" relativeHeight="251658241" behindDoc="0" locked="0" layoutInCell="1" allowOverlap="1" wp14:anchorId="542EF1AF" wp14:editId="7EA97D78">
              <wp:simplePos x="0" y="0"/>
              <wp:positionH relativeFrom="page">
                <wp:align>right</wp:align>
              </wp:positionH>
              <wp:positionV relativeFrom="page">
                <wp:align>top</wp:align>
              </wp:positionV>
              <wp:extent cx="3676003" cy="1242204"/>
              <wp:effectExtent l="0" t="0" r="0" b="15240"/>
              <wp:wrapNone/>
              <wp:docPr id="721823395" name="Text Box 1"/>
              <wp:cNvGraphicFramePr/>
              <a:graphic xmlns:a="http://schemas.openxmlformats.org/drawingml/2006/main">
                <a:graphicData uri="http://schemas.microsoft.com/office/word/2010/wordprocessingShape">
                  <wps:wsp>
                    <wps:cNvSpPr txBox="1"/>
                    <wps:spPr>
                      <a:xfrm>
                        <a:off x="0" y="0"/>
                        <a:ext cx="3676003" cy="1242204"/>
                      </a:xfrm>
                      <a:prstGeom prst="rect">
                        <a:avLst/>
                      </a:prstGeom>
                      <a:noFill/>
                      <a:ln w="6350">
                        <a:noFill/>
                      </a:ln>
                    </wps:spPr>
                    <wps:txbx>
                      <w:txbxContent>
                        <w:p w14:paraId="5F9A8F6B" w14:textId="77777777" w:rsidR="00202437" w:rsidRPr="005A422C" w:rsidRDefault="00202437" w:rsidP="004967B7">
                          <w:pPr>
                            <w:ind w:left="-142"/>
                            <w:jc w:val="right"/>
                            <w:rPr>
                              <w:rFonts w:asciiTheme="majorHAnsi" w:hAnsiTheme="majorHAnsi" w:cstheme="majorHAnsi"/>
                              <w:b/>
                              <w:bCs/>
                              <w:spacing w:val="-10"/>
                              <w:sz w:val="52"/>
                              <w:szCs w:val="52"/>
                              <w:lang w:val="de-DE"/>
                            </w:rPr>
                          </w:pPr>
                          <w:r w:rsidRPr="005A422C">
                            <w:rPr>
                              <w:rFonts w:asciiTheme="majorHAnsi" w:hAnsiTheme="majorHAnsi" w:cstheme="majorHAnsi"/>
                              <w:b/>
                              <w:bCs/>
                              <w:spacing w:val="-10"/>
                              <w:sz w:val="52"/>
                              <w:szCs w:val="52"/>
                              <w:lang w:val="de-DE"/>
                            </w:rPr>
                            <w:t>Press release</w:t>
                          </w:r>
                        </w:p>
                      </w:txbxContent>
                    </wps:txbx>
                    <wps:bodyPr rot="0" spcFirstLastPara="0" vertOverflow="overflow" horzOverflow="overflow" vert="horz" wrap="square" lIns="0" tIns="0" rIns="4896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2EF1AF" id="_x0000_t202" coordsize="21600,21600" o:spt="202" path="m,l,21600r21600,l21600,xe">
              <v:stroke joinstyle="miter"/>
              <v:path gradientshapeok="t" o:connecttype="rect"/>
            </v:shapetype>
            <v:shape id="Text Box 1" o:spid="_x0000_s1026" type="#_x0000_t202" style="position:absolute;margin-left:238.25pt;margin-top:0;width:289.45pt;height:97.8pt;z-index:251658241;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" filled="f" stroked="f" strokeweight=".5pt">
              <v:textbox inset="0,0,13.6mm,0">
                <w:txbxContent>
                  <w:p w14:paraId="5F9A8F6B" w14:textId="77777777" w:rsidR="00202437" w:rsidRPr="005A422C" w:rsidRDefault="00202437" w:rsidP="004967B7">
                    <w:pPr>
                      <w:ind w:left="-142"/>
                      <w:jc w:val="right"/>
                      <w:rPr>
                        <w:rFonts w:asciiTheme="majorHAnsi" w:hAnsiTheme="majorHAnsi" w:cstheme="majorHAnsi"/>
                        <w:b/>
                        <w:bCs/>
                        <w:spacing w:val="-10"/>
                        <w:sz w:val="52"/>
                        <w:szCs w:val="52"/>
                        <w:lang w:val="de-DE"/>
                      </w:rPr>
                    </w:pPr>
                    <w:r w:rsidRPr="005A422C">
                      <w:rPr>
                        <w:rFonts w:asciiTheme="majorHAnsi" w:hAnsiTheme="majorHAnsi" w:cstheme="majorHAnsi"/>
                        <w:b/>
                        <w:bCs/>
                        <w:spacing w:val="-10"/>
                        <w:sz w:val="52"/>
                        <w:szCs w:val="52"/>
                        <w:lang w:val="de-DE"/>
                      </w:rPr>
                      <w:t>Press release</w:t>
                    </w:r>
                  </w:p>
                </w:txbxContent>
              </v:textbox>
              <w10:wrap anchorx="page" anchory="page"/>
            </v:shape>
          </w:pict>
        </mc:Fallback>
      </mc:AlternateContent>
    </w:r>
    <w:r w:rsidR="005A422C">
      <w:rPr>
        <w:noProof/>
      </w:rPr>
      <w:drawing>
        <wp:anchor distT="0" distB="0" distL="114300" distR="114300" simplePos="0" relativeHeight="251658242" behindDoc="0" locked="0" layoutInCell="1" allowOverlap="1" wp14:anchorId="1491B4BE" wp14:editId="6BAE799D">
          <wp:simplePos x="0" y="0"/>
          <wp:positionH relativeFrom="column">
            <wp:posOffset>-477520</wp:posOffset>
          </wp:positionH>
          <wp:positionV relativeFrom="paragraph">
            <wp:posOffset>-241300</wp:posOffset>
          </wp:positionV>
          <wp:extent cx="2178050" cy="901700"/>
          <wp:effectExtent l="0" t="0" r="0" b="0"/>
          <wp:wrapSquare wrapText="bothSides"/>
          <wp:docPr id="16152834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283441" name="Picture 1615283441"/>
                  <pic:cNvPicPr/>
                </pic:nvPicPr>
                <pic:blipFill rotWithShape="1">
                  <a:blip r:embed="rId1">
                    <a:extLst>
                      <a:ext uri="{28A0092B-C50C-407E-A947-70E740481C1C}">
                        <a14:useLocalDpi xmlns:a14="http://schemas.microsoft.com/office/drawing/2010/main" val="0"/>
                      </a:ext>
                    </a:extLst>
                  </a:blip>
                  <a:srcRect t="27114" b="31487"/>
                  <a:stretch>
                    <a:fillRect/>
                  </a:stretch>
                </pic:blipFill>
                <pic:spPr bwMode="auto">
                  <a:xfrm>
                    <a:off x="0" y="0"/>
                    <a:ext cx="2178050" cy="901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DAC27" w14:textId="77777777" w:rsidR="00AA4491" w:rsidRDefault="00AD5A42">
    <w:pPr>
      <w:pStyle w:val="Header"/>
    </w:pPr>
    <w:r>
      <w:rPr>
        <w:noProof/>
      </w:rPr>
      <w:drawing>
        <wp:anchor distT="0" distB="0" distL="114300" distR="114300" simplePos="0" relativeHeight="251658240" behindDoc="1" locked="0" layoutInCell="1" allowOverlap="1" wp14:anchorId="2F06C08C" wp14:editId="31159539">
          <wp:simplePos x="0" y="0"/>
          <wp:positionH relativeFrom="column">
            <wp:posOffset>-711464</wp:posOffset>
          </wp:positionH>
          <wp:positionV relativeFrom="paragraph">
            <wp:posOffset>-448574</wp:posOffset>
          </wp:positionV>
          <wp:extent cx="7539487" cy="2179136"/>
          <wp:effectExtent l="0" t="0" r="4445" b="5715"/>
          <wp:wrapNone/>
          <wp:docPr id="2" name="Picture 2"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91669" cy="21942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1220D"/>
    <w:multiLevelType w:val="hybridMultilevel"/>
    <w:tmpl w:val="1828344A"/>
    <w:lvl w:ilvl="0" w:tplc="5F0CA20A">
      <w:start w:val="1"/>
      <w:numFmt w:val="decimal"/>
      <w:lvlText w:val="%1."/>
      <w:lvlJc w:val="left"/>
      <w:pPr>
        <w:ind w:left="1020" w:hanging="360"/>
      </w:pPr>
    </w:lvl>
    <w:lvl w:ilvl="1" w:tplc="EFBED95C">
      <w:start w:val="1"/>
      <w:numFmt w:val="decimal"/>
      <w:lvlText w:val="%2."/>
      <w:lvlJc w:val="left"/>
      <w:pPr>
        <w:ind w:left="1020" w:hanging="360"/>
      </w:pPr>
    </w:lvl>
    <w:lvl w:ilvl="2" w:tplc="3F760AA4">
      <w:start w:val="1"/>
      <w:numFmt w:val="decimal"/>
      <w:lvlText w:val="%3."/>
      <w:lvlJc w:val="left"/>
      <w:pPr>
        <w:ind w:left="1020" w:hanging="360"/>
      </w:pPr>
    </w:lvl>
    <w:lvl w:ilvl="3" w:tplc="A0904C8A">
      <w:start w:val="1"/>
      <w:numFmt w:val="decimal"/>
      <w:lvlText w:val="%4."/>
      <w:lvlJc w:val="left"/>
      <w:pPr>
        <w:ind w:left="1020" w:hanging="360"/>
      </w:pPr>
    </w:lvl>
    <w:lvl w:ilvl="4" w:tplc="E1841510">
      <w:start w:val="1"/>
      <w:numFmt w:val="decimal"/>
      <w:lvlText w:val="%5."/>
      <w:lvlJc w:val="left"/>
      <w:pPr>
        <w:ind w:left="1020" w:hanging="360"/>
      </w:pPr>
    </w:lvl>
    <w:lvl w:ilvl="5" w:tplc="59405E78">
      <w:start w:val="1"/>
      <w:numFmt w:val="decimal"/>
      <w:lvlText w:val="%6."/>
      <w:lvlJc w:val="left"/>
      <w:pPr>
        <w:ind w:left="1020" w:hanging="360"/>
      </w:pPr>
    </w:lvl>
    <w:lvl w:ilvl="6" w:tplc="83D63BBC">
      <w:start w:val="1"/>
      <w:numFmt w:val="decimal"/>
      <w:lvlText w:val="%7."/>
      <w:lvlJc w:val="left"/>
      <w:pPr>
        <w:ind w:left="1020" w:hanging="360"/>
      </w:pPr>
    </w:lvl>
    <w:lvl w:ilvl="7" w:tplc="166A57E4">
      <w:start w:val="1"/>
      <w:numFmt w:val="decimal"/>
      <w:lvlText w:val="%8."/>
      <w:lvlJc w:val="left"/>
      <w:pPr>
        <w:ind w:left="1020" w:hanging="360"/>
      </w:pPr>
    </w:lvl>
    <w:lvl w:ilvl="8" w:tplc="31C24460">
      <w:start w:val="1"/>
      <w:numFmt w:val="decimal"/>
      <w:lvlText w:val="%9."/>
      <w:lvlJc w:val="left"/>
      <w:pPr>
        <w:ind w:left="1020" w:hanging="360"/>
      </w:pPr>
    </w:lvl>
  </w:abstractNum>
  <w:num w:numId="1" w16cid:durableId="1419446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167"/>
    <w:rsid w:val="00005603"/>
    <w:rsid w:val="00031DB9"/>
    <w:rsid w:val="000409FC"/>
    <w:rsid w:val="0004461F"/>
    <w:rsid w:val="00056BDD"/>
    <w:rsid w:val="000658EE"/>
    <w:rsid w:val="000708BE"/>
    <w:rsid w:val="00071E28"/>
    <w:rsid w:val="00081B21"/>
    <w:rsid w:val="000876BD"/>
    <w:rsid w:val="00091BAD"/>
    <w:rsid w:val="00092D75"/>
    <w:rsid w:val="00093280"/>
    <w:rsid w:val="000A522F"/>
    <w:rsid w:val="000A75C2"/>
    <w:rsid w:val="000B6A71"/>
    <w:rsid w:val="000E132A"/>
    <w:rsid w:val="000E60A0"/>
    <w:rsid w:val="000F332D"/>
    <w:rsid w:val="000F59F4"/>
    <w:rsid w:val="00106FCB"/>
    <w:rsid w:val="0012034F"/>
    <w:rsid w:val="00124B8A"/>
    <w:rsid w:val="00136C86"/>
    <w:rsid w:val="00147698"/>
    <w:rsid w:val="0017547A"/>
    <w:rsid w:val="00181A01"/>
    <w:rsid w:val="00183DAB"/>
    <w:rsid w:val="001874AF"/>
    <w:rsid w:val="001A2F54"/>
    <w:rsid w:val="001A69EB"/>
    <w:rsid w:val="001A6CAD"/>
    <w:rsid w:val="001A7E4E"/>
    <w:rsid w:val="001C30D4"/>
    <w:rsid w:val="001C7EDE"/>
    <w:rsid w:val="001D34FA"/>
    <w:rsid w:val="001E0EA9"/>
    <w:rsid w:val="001F3FA7"/>
    <w:rsid w:val="00202437"/>
    <w:rsid w:val="00203380"/>
    <w:rsid w:val="002042A1"/>
    <w:rsid w:val="00206E46"/>
    <w:rsid w:val="0021715B"/>
    <w:rsid w:val="00244A61"/>
    <w:rsid w:val="00253C0A"/>
    <w:rsid w:val="002546EB"/>
    <w:rsid w:val="002552B0"/>
    <w:rsid w:val="00261B67"/>
    <w:rsid w:val="00281EAB"/>
    <w:rsid w:val="002870BF"/>
    <w:rsid w:val="00297584"/>
    <w:rsid w:val="002A4138"/>
    <w:rsid w:val="002A45A2"/>
    <w:rsid w:val="002A7B13"/>
    <w:rsid w:val="002B28E1"/>
    <w:rsid w:val="002B4C2F"/>
    <w:rsid w:val="002B64F2"/>
    <w:rsid w:val="002B7456"/>
    <w:rsid w:val="002C0EC8"/>
    <w:rsid w:val="002E2FDE"/>
    <w:rsid w:val="003034A7"/>
    <w:rsid w:val="0030746C"/>
    <w:rsid w:val="0031327E"/>
    <w:rsid w:val="00323DFE"/>
    <w:rsid w:val="00327423"/>
    <w:rsid w:val="003276FB"/>
    <w:rsid w:val="00332589"/>
    <w:rsid w:val="0034502A"/>
    <w:rsid w:val="00347864"/>
    <w:rsid w:val="003556E0"/>
    <w:rsid w:val="00383331"/>
    <w:rsid w:val="003A7800"/>
    <w:rsid w:val="003B371D"/>
    <w:rsid w:val="003B67AD"/>
    <w:rsid w:val="003D4A99"/>
    <w:rsid w:val="003F0168"/>
    <w:rsid w:val="003F075A"/>
    <w:rsid w:val="003F6D05"/>
    <w:rsid w:val="00400CEC"/>
    <w:rsid w:val="004141A4"/>
    <w:rsid w:val="004400E1"/>
    <w:rsid w:val="00446060"/>
    <w:rsid w:val="00466AD3"/>
    <w:rsid w:val="00475645"/>
    <w:rsid w:val="004820E9"/>
    <w:rsid w:val="00490395"/>
    <w:rsid w:val="004937E6"/>
    <w:rsid w:val="004967B7"/>
    <w:rsid w:val="004B539F"/>
    <w:rsid w:val="004B5A8E"/>
    <w:rsid w:val="004B5B4B"/>
    <w:rsid w:val="004B611F"/>
    <w:rsid w:val="004B72CA"/>
    <w:rsid w:val="004C2CF5"/>
    <w:rsid w:val="004C52D2"/>
    <w:rsid w:val="0050068F"/>
    <w:rsid w:val="00512A54"/>
    <w:rsid w:val="00532DFA"/>
    <w:rsid w:val="00533BCC"/>
    <w:rsid w:val="00534DD7"/>
    <w:rsid w:val="005359F9"/>
    <w:rsid w:val="00536069"/>
    <w:rsid w:val="0053762B"/>
    <w:rsid w:val="00542BC4"/>
    <w:rsid w:val="00557707"/>
    <w:rsid w:val="005652EA"/>
    <w:rsid w:val="005715C7"/>
    <w:rsid w:val="005749B6"/>
    <w:rsid w:val="005860A0"/>
    <w:rsid w:val="005914E8"/>
    <w:rsid w:val="00592BD9"/>
    <w:rsid w:val="00596EEB"/>
    <w:rsid w:val="005A422C"/>
    <w:rsid w:val="005A5AD6"/>
    <w:rsid w:val="005C3E65"/>
    <w:rsid w:val="005D07D3"/>
    <w:rsid w:val="005D0ED7"/>
    <w:rsid w:val="005F22ED"/>
    <w:rsid w:val="005F72E3"/>
    <w:rsid w:val="00645E06"/>
    <w:rsid w:val="00655367"/>
    <w:rsid w:val="00657C92"/>
    <w:rsid w:val="00664B7F"/>
    <w:rsid w:val="006721CA"/>
    <w:rsid w:val="00684B3F"/>
    <w:rsid w:val="0069282B"/>
    <w:rsid w:val="006A5192"/>
    <w:rsid w:val="006A5957"/>
    <w:rsid w:val="006B79D7"/>
    <w:rsid w:val="006C0AC2"/>
    <w:rsid w:val="006D15CD"/>
    <w:rsid w:val="006D66DC"/>
    <w:rsid w:val="006F5CDB"/>
    <w:rsid w:val="007124FB"/>
    <w:rsid w:val="007215C5"/>
    <w:rsid w:val="00726AA1"/>
    <w:rsid w:val="007348E8"/>
    <w:rsid w:val="007441A7"/>
    <w:rsid w:val="00751133"/>
    <w:rsid w:val="00754B7A"/>
    <w:rsid w:val="00755384"/>
    <w:rsid w:val="00775ECE"/>
    <w:rsid w:val="007802C8"/>
    <w:rsid w:val="007914C8"/>
    <w:rsid w:val="007D47E0"/>
    <w:rsid w:val="007E3768"/>
    <w:rsid w:val="007E51CC"/>
    <w:rsid w:val="007E6D4E"/>
    <w:rsid w:val="00803431"/>
    <w:rsid w:val="008156FB"/>
    <w:rsid w:val="008228D9"/>
    <w:rsid w:val="00830D95"/>
    <w:rsid w:val="00837BAE"/>
    <w:rsid w:val="008455FB"/>
    <w:rsid w:val="00846203"/>
    <w:rsid w:val="00846C8F"/>
    <w:rsid w:val="00851B21"/>
    <w:rsid w:val="008810D8"/>
    <w:rsid w:val="008811F0"/>
    <w:rsid w:val="00885ABF"/>
    <w:rsid w:val="00886F6D"/>
    <w:rsid w:val="00897D00"/>
    <w:rsid w:val="008A1165"/>
    <w:rsid w:val="008A3EC6"/>
    <w:rsid w:val="008B04B3"/>
    <w:rsid w:val="008C71ED"/>
    <w:rsid w:val="008D1948"/>
    <w:rsid w:val="008D2641"/>
    <w:rsid w:val="008F14BB"/>
    <w:rsid w:val="00913DA2"/>
    <w:rsid w:val="00915849"/>
    <w:rsid w:val="00916F18"/>
    <w:rsid w:val="009227C0"/>
    <w:rsid w:val="00931D83"/>
    <w:rsid w:val="009341E5"/>
    <w:rsid w:val="0093454D"/>
    <w:rsid w:val="00944C54"/>
    <w:rsid w:val="00965B9F"/>
    <w:rsid w:val="00971313"/>
    <w:rsid w:val="00980407"/>
    <w:rsid w:val="009818FA"/>
    <w:rsid w:val="009839C2"/>
    <w:rsid w:val="009E618C"/>
    <w:rsid w:val="00A0260F"/>
    <w:rsid w:val="00A0386E"/>
    <w:rsid w:val="00A11C19"/>
    <w:rsid w:val="00A16E0A"/>
    <w:rsid w:val="00A27BDD"/>
    <w:rsid w:val="00A27C56"/>
    <w:rsid w:val="00A31AA3"/>
    <w:rsid w:val="00A33811"/>
    <w:rsid w:val="00A42DD8"/>
    <w:rsid w:val="00A529BA"/>
    <w:rsid w:val="00A536B0"/>
    <w:rsid w:val="00A62C10"/>
    <w:rsid w:val="00A735BA"/>
    <w:rsid w:val="00A94884"/>
    <w:rsid w:val="00A97D22"/>
    <w:rsid w:val="00AA4491"/>
    <w:rsid w:val="00AA6865"/>
    <w:rsid w:val="00AB136A"/>
    <w:rsid w:val="00AB795A"/>
    <w:rsid w:val="00AC1B71"/>
    <w:rsid w:val="00AD5A42"/>
    <w:rsid w:val="00AE55EF"/>
    <w:rsid w:val="00B04B6C"/>
    <w:rsid w:val="00B202B3"/>
    <w:rsid w:val="00B306DD"/>
    <w:rsid w:val="00B36809"/>
    <w:rsid w:val="00B36D53"/>
    <w:rsid w:val="00B44965"/>
    <w:rsid w:val="00B52AAE"/>
    <w:rsid w:val="00B56C4E"/>
    <w:rsid w:val="00B61728"/>
    <w:rsid w:val="00B630B6"/>
    <w:rsid w:val="00B65366"/>
    <w:rsid w:val="00B65958"/>
    <w:rsid w:val="00B71C6F"/>
    <w:rsid w:val="00B74832"/>
    <w:rsid w:val="00B8384A"/>
    <w:rsid w:val="00B873DD"/>
    <w:rsid w:val="00BA1307"/>
    <w:rsid w:val="00BA6064"/>
    <w:rsid w:val="00BB18D8"/>
    <w:rsid w:val="00BB2834"/>
    <w:rsid w:val="00BB5505"/>
    <w:rsid w:val="00BC094D"/>
    <w:rsid w:val="00BC4A80"/>
    <w:rsid w:val="00BD0985"/>
    <w:rsid w:val="00BD2C4B"/>
    <w:rsid w:val="00BF1247"/>
    <w:rsid w:val="00BF202C"/>
    <w:rsid w:val="00C003AB"/>
    <w:rsid w:val="00C05966"/>
    <w:rsid w:val="00C07713"/>
    <w:rsid w:val="00C15FA8"/>
    <w:rsid w:val="00C237D0"/>
    <w:rsid w:val="00C7659B"/>
    <w:rsid w:val="00C831B9"/>
    <w:rsid w:val="00C878B8"/>
    <w:rsid w:val="00CA7276"/>
    <w:rsid w:val="00CB2CD8"/>
    <w:rsid w:val="00CB56AC"/>
    <w:rsid w:val="00CB5A0B"/>
    <w:rsid w:val="00CC40BA"/>
    <w:rsid w:val="00CC4363"/>
    <w:rsid w:val="00CE3148"/>
    <w:rsid w:val="00CF6D76"/>
    <w:rsid w:val="00D05B56"/>
    <w:rsid w:val="00D060C3"/>
    <w:rsid w:val="00D158BA"/>
    <w:rsid w:val="00D16400"/>
    <w:rsid w:val="00D205A3"/>
    <w:rsid w:val="00D25425"/>
    <w:rsid w:val="00D444DE"/>
    <w:rsid w:val="00D445CF"/>
    <w:rsid w:val="00D472C6"/>
    <w:rsid w:val="00D849FA"/>
    <w:rsid w:val="00D86DCB"/>
    <w:rsid w:val="00DA0059"/>
    <w:rsid w:val="00DA7AED"/>
    <w:rsid w:val="00DD426B"/>
    <w:rsid w:val="00DD4BCA"/>
    <w:rsid w:val="00DD6C82"/>
    <w:rsid w:val="00DF5A82"/>
    <w:rsid w:val="00DF61DA"/>
    <w:rsid w:val="00DF7F2B"/>
    <w:rsid w:val="00E00066"/>
    <w:rsid w:val="00E3797E"/>
    <w:rsid w:val="00E50479"/>
    <w:rsid w:val="00E5155A"/>
    <w:rsid w:val="00E62AF9"/>
    <w:rsid w:val="00E72F37"/>
    <w:rsid w:val="00E748FB"/>
    <w:rsid w:val="00E857EB"/>
    <w:rsid w:val="00EA1376"/>
    <w:rsid w:val="00EA5C47"/>
    <w:rsid w:val="00EA5FC6"/>
    <w:rsid w:val="00EB3CA7"/>
    <w:rsid w:val="00ED79B4"/>
    <w:rsid w:val="00EE400B"/>
    <w:rsid w:val="00EF3118"/>
    <w:rsid w:val="00F02E0A"/>
    <w:rsid w:val="00F30844"/>
    <w:rsid w:val="00F53123"/>
    <w:rsid w:val="00F83A84"/>
    <w:rsid w:val="00F93167"/>
    <w:rsid w:val="00F97ECD"/>
    <w:rsid w:val="00FC056F"/>
    <w:rsid w:val="00FC17C7"/>
    <w:rsid w:val="00FC3B29"/>
    <w:rsid w:val="00FC3D72"/>
    <w:rsid w:val="00FC5F8F"/>
    <w:rsid w:val="00FC7910"/>
    <w:rsid w:val="00FD3F3C"/>
    <w:rsid w:val="00FD5DA0"/>
    <w:rsid w:val="00FF7334"/>
    <w:rsid w:val="0F2F4219"/>
    <w:rsid w:val="54F822BE"/>
    <w:rsid w:val="6C5D6E9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3E91BE"/>
  <w15:docId w15:val="{0B4D3915-F381-4429-BF53-BF0944ED1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768"/>
    <w:pPr>
      <w:spacing w:before="120" w:after="120" w:line="240" w:lineRule="auto"/>
    </w:pPr>
    <w:rPr>
      <w:rFonts w:eastAsia="Times New Roman" w:cs="Times New Roman"/>
      <w:color w:val="00395A" w:themeColor="accent1"/>
      <w:sz w:val="20"/>
      <w:szCs w:val="24"/>
    </w:rPr>
  </w:style>
  <w:style w:type="paragraph" w:styleId="Heading1">
    <w:name w:val="heading 1"/>
    <w:basedOn w:val="Normal"/>
    <w:next w:val="Normal"/>
    <w:link w:val="Heading1Char"/>
    <w:qFormat/>
    <w:rsid w:val="00DA7AED"/>
    <w:pPr>
      <w:keepNext/>
      <w:spacing w:before="240" w:after="480"/>
      <w:outlineLvl w:val="0"/>
    </w:pPr>
    <w:rPr>
      <w:rFonts w:cs="Arial"/>
      <w:bCs/>
      <w:i/>
      <w:kern w:val="32"/>
      <w:sz w:val="40"/>
      <w:szCs w:val="32"/>
    </w:rPr>
  </w:style>
  <w:style w:type="paragraph" w:styleId="Heading2">
    <w:name w:val="heading 2"/>
    <w:basedOn w:val="Normal"/>
    <w:next w:val="Normal"/>
    <w:link w:val="Heading2Char"/>
    <w:uiPriority w:val="9"/>
    <w:semiHidden/>
    <w:qFormat/>
    <w:rsid w:val="00DA7AED"/>
    <w:pPr>
      <w:keepNext/>
      <w:keepLines/>
      <w:spacing w:before="40" w:after="0"/>
      <w:outlineLvl w:val="1"/>
    </w:pPr>
    <w:rPr>
      <w:rFonts w:asciiTheme="majorHAnsi" w:eastAsiaTheme="majorEastAsia" w:hAnsiTheme="majorHAnsi" w:cstheme="majorBidi"/>
      <w:color w:val="002A43" w:themeColor="accent1" w:themeShade="BF"/>
      <w:sz w:val="26"/>
      <w:szCs w:val="26"/>
    </w:rPr>
  </w:style>
  <w:style w:type="paragraph" w:styleId="Heading3">
    <w:name w:val="heading 3"/>
    <w:basedOn w:val="Normal"/>
    <w:next w:val="Normal"/>
    <w:link w:val="Heading3Char"/>
    <w:uiPriority w:val="9"/>
    <w:semiHidden/>
    <w:qFormat/>
    <w:rsid w:val="00DA7AED"/>
    <w:pPr>
      <w:keepNext/>
      <w:keepLines/>
      <w:spacing w:before="40" w:after="0"/>
      <w:outlineLvl w:val="2"/>
    </w:pPr>
    <w:rPr>
      <w:rFonts w:asciiTheme="majorHAnsi" w:eastAsiaTheme="majorEastAsia" w:hAnsiTheme="majorHAnsi" w:cstheme="majorBidi"/>
      <w:color w:val="001C2C" w:themeColor="accent1" w:themeShade="7F"/>
      <w:sz w:val="24"/>
    </w:rPr>
  </w:style>
  <w:style w:type="paragraph" w:styleId="Heading4">
    <w:name w:val="heading 4"/>
    <w:basedOn w:val="Normal"/>
    <w:next w:val="Normal"/>
    <w:link w:val="Heading4Char"/>
    <w:uiPriority w:val="9"/>
    <w:semiHidden/>
    <w:qFormat/>
    <w:rsid w:val="00DA7AED"/>
    <w:pPr>
      <w:keepNext/>
      <w:keepLines/>
      <w:spacing w:before="40" w:after="0"/>
      <w:outlineLvl w:val="3"/>
    </w:pPr>
    <w:rPr>
      <w:rFonts w:asciiTheme="majorHAnsi" w:eastAsiaTheme="majorEastAsia" w:hAnsiTheme="majorHAnsi" w:cstheme="majorBidi"/>
      <w:i/>
      <w:iCs/>
      <w:color w:val="002A4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7AED"/>
    <w:rPr>
      <w:rFonts w:ascii="AmcorPro Light" w:eastAsia="Times New Roman" w:hAnsi="AmcorPro Light" w:cs="Arial"/>
      <w:bCs/>
      <w:i/>
      <w:kern w:val="32"/>
      <w:sz w:val="40"/>
      <w:szCs w:val="32"/>
    </w:rPr>
  </w:style>
  <w:style w:type="paragraph" w:styleId="Footer">
    <w:name w:val="footer"/>
    <w:basedOn w:val="Normal"/>
    <w:link w:val="FooterChar"/>
    <w:uiPriority w:val="99"/>
    <w:rsid w:val="00913DA2"/>
    <w:pPr>
      <w:tabs>
        <w:tab w:val="center" w:pos="4153"/>
        <w:tab w:val="right" w:pos="8306"/>
      </w:tabs>
    </w:pPr>
    <w:rPr>
      <w:sz w:val="16"/>
      <w:lang w:eastAsia="en-AU"/>
    </w:rPr>
  </w:style>
  <w:style w:type="character" w:customStyle="1" w:styleId="FooterChar">
    <w:name w:val="Footer Char"/>
    <w:basedOn w:val="DefaultParagraphFont"/>
    <w:link w:val="Footer"/>
    <w:uiPriority w:val="99"/>
    <w:rsid w:val="00913DA2"/>
    <w:rPr>
      <w:rFonts w:ascii="AmcorPro Light" w:eastAsia="Times New Roman" w:hAnsi="AmcorPro Light" w:cs="Times New Roman"/>
      <w:sz w:val="16"/>
      <w:szCs w:val="24"/>
      <w:lang w:eastAsia="en-AU"/>
    </w:rPr>
  </w:style>
  <w:style w:type="paragraph" w:customStyle="1" w:styleId="FooterABN">
    <w:name w:val="Footer ABN"/>
    <w:basedOn w:val="Footer"/>
    <w:link w:val="FooterABNChar"/>
    <w:rsid w:val="00913DA2"/>
    <w:pPr>
      <w:spacing w:after="140"/>
    </w:pPr>
    <w:rPr>
      <w:sz w:val="12"/>
    </w:rPr>
  </w:style>
  <w:style w:type="character" w:customStyle="1" w:styleId="SemiBold">
    <w:name w:val="Semi Bold"/>
    <w:rsid w:val="00913DA2"/>
    <w:rPr>
      <w:rFonts w:ascii="AmcorPro SemiBold" w:hAnsi="AmcorPro SemiBold"/>
    </w:rPr>
  </w:style>
  <w:style w:type="character" w:customStyle="1" w:styleId="FooterABNChar">
    <w:name w:val="Footer ABN Char"/>
    <w:basedOn w:val="FooterChar"/>
    <w:link w:val="FooterABN"/>
    <w:rsid w:val="00913DA2"/>
    <w:rPr>
      <w:rFonts w:ascii="AmcorPro Light" w:eastAsia="Times New Roman" w:hAnsi="AmcorPro Light" w:cs="Times New Roman"/>
      <w:sz w:val="12"/>
      <w:szCs w:val="24"/>
      <w:lang w:eastAsia="en-AU"/>
    </w:rPr>
  </w:style>
  <w:style w:type="paragraph" w:styleId="BalloonText">
    <w:name w:val="Balloon Text"/>
    <w:basedOn w:val="Normal"/>
    <w:link w:val="BalloonTextChar"/>
    <w:uiPriority w:val="99"/>
    <w:semiHidden/>
    <w:unhideWhenUsed/>
    <w:rsid w:val="00913DA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DA2"/>
    <w:rPr>
      <w:rFonts w:ascii="Tahoma" w:eastAsia="Times New Roman" w:hAnsi="Tahoma" w:cs="Tahoma"/>
      <w:sz w:val="16"/>
      <w:szCs w:val="16"/>
    </w:rPr>
  </w:style>
  <w:style w:type="character" w:styleId="Strong">
    <w:name w:val="Strong"/>
    <w:basedOn w:val="DefaultParagraphFont"/>
    <w:uiPriority w:val="22"/>
    <w:qFormat/>
    <w:rsid w:val="00BD2C4B"/>
    <w:rPr>
      <w:b/>
      <w:bCs/>
    </w:rPr>
  </w:style>
  <w:style w:type="character" w:styleId="Hyperlink">
    <w:name w:val="Hyperlink"/>
    <w:basedOn w:val="DefaultParagraphFont"/>
    <w:uiPriority w:val="99"/>
    <w:unhideWhenUsed/>
    <w:rsid w:val="00BD2C4B"/>
    <w:rPr>
      <w:color w:val="0000FF"/>
      <w:u w:val="single"/>
    </w:rPr>
  </w:style>
  <w:style w:type="paragraph" w:styleId="Header">
    <w:name w:val="header"/>
    <w:basedOn w:val="Normal"/>
    <w:link w:val="HeaderChar"/>
    <w:uiPriority w:val="99"/>
    <w:unhideWhenUsed/>
    <w:rsid w:val="00BD2C4B"/>
    <w:pPr>
      <w:tabs>
        <w:tab w:val="center" w:pos="4513"/>
        <w:tab w:val="right" w:pos="9026"/>
      </w:tabs>
      <w:spacing w:before="0" w:after="0"/>
    </w:pPr>
  </w:style>
  <w:style w:type="character" w:customStyle="1" w:styleId="HeaderChar">
    <w:name w:val="Header Char"/>
    <w:basedOn w:val="DefaultParagraphFont"/>
    <w:link w:val="Header"/>
    <w:uiPriority w:val="99"/>
    <w:rsid w:val="00BD2C4B"/>
    <w:rPr>
      <w:rFonts w:ascii="AmcorPro Light" w:eastAsia="Times New Roman" w:hAnsi="AmcorPro Light" w:cs="Times New Roman"/>
      <w:sz w:val="20"/>
      <w:szCs w:val="24"/>
    </w:rPr>
  </w:style>
  <w:style w:type="character" w:styleId="CommentReference">
    <w:name w:val="annotation reference"/>
    <w:basedOn w:val="DefaultParagraphFont"/>
    <w:uiPriority w:val="99"/>
    <w:semiHidden/>
    <w:unhideWhenUsed/>
    <w:rsid w:val="00FC7910"/>
    <w:rPr>
      <w:sz w:val="16"/>
      <w:szCs w:val="16"/>
    </w:rPr>
  </w:style>
  <w:style w:type="paragraph" w:styleId="CommentText">
    <w:name w:val="annotation text"/>
    <w:basedOn w:val="Normal"/>
    <w:link w:val="CommentTextChar"/>
    <w:uiPriority w:val="99"/>
    <w:unhideWhenUsed/>
    <w:rsid w:val="00FC7910"/>
    <w:rPr>
      <w:szCs w:val="20"/>
    </w:rPr>
  </w:style>
  <w:style w:type="character" w:customStyle="1" w:styleId="CommentTextChar">
    <w:name w:val="Comment Text Char"/>
    <w:basedOn w:val="DefaultParagraphFont"/>
    <w:link w:val="CommentText"/>
    <w:uiPriority w:val="99"/>
    <w:rsid w:val="00FC7910"/>
    <w:rPr>
      <w:rFonts w:ascii="AmcorPro Light" w:eastAsia="Times New Roman" w:hAnsi="AmcorPro Light" w:cs="Times New Roman"/>
      <w:sz w:val="20"/>
      <w:szCs w:val="20"/>
    </w:rPr>
  </w:style>
  <w:style w:type="paragraph" w:styleId="CommentSubject">
    <w:name w:val="annotation subject"/>
    <w:basedOn w:val="CommentText"/>
    <w:next w:val="CommentText"/>
    <w:link w:val="CommentSubjectChar"/>
    <w:uiPriority w:val="99"/>
    <w:semiHidden/>
    <w:unhideWhenUsed/>
    <w:rsid w:val="00FC7910"/>
    <w:rPr>
      <w:b/>
      <w:bCs/>
    </w:rPr>
  </w:style>
  <w:style w:type="character" w:customStyle="1" w:styleId="CommentSubjectChar">
    <w:name w:val="Comment Subject Char"/>
    <w:basedOn w:val="CommentTextChar"/>
    <w:link w:val="CommentSubject"/>
    <w:uiPriority w:val="99"/>
    <w:semiHidden/>
    <w:rsid w:val="00FC7910"/>
    <w:rPr>
      <w:rFonts w:ascii="AmcorPro Light" w:eastAsia="Times New Roman" w:hAnsi="AmcorPro Light" w:cs="Times New Roman"/>
      <w:b/>
      <w:bCs/>
      <w:sz w:val="20"/>
      <w:szCs w:val="20"/>
    </w:rPr>
  </w:style>
  <w:style w:type="character" w:styleId="UnresolvedMention">
    <w:name w:val="Unresolved Mention"/>
    <w:basedOn w:val="DefaultParagraphFont"/>
    <w:uiPriority w:val="99"/>
    <w:semiHidden/>
    <w:unhideWhenUsed/>
    <w:rsid w:val="00031DB9"/>
    <w:rPr>
      <w:color w:val="605E5C"/>
      <w:shd w:val="clear" w:color="auto" w:fill="E1DFDD"/>
    </w:rPr>
  </w:style>
  <w:style w:type="paragraph" w:customStyle="1" w:styleId="BasicParagraph">
    <w:name w:val="[Basic Paragraph]"/>
    <w:basedOn w:val="Normal"/>
    <w:uiPriority w:val="99"/>
    <w:rsid w:val="005860A0"/>
    <w:pPr>
      <w:autoSpaceDE w:val="0"/>
      <w:autoSpaceDN w:val="0"/>
      <w:adjustRightInd w:val="0"/>
      <w:spacing w:before="0" w:after="0" w:line="288" w:lineRule="auto"/>
      <w:textAlignment w:val="center"/>
    </w:pPr>
    <w:rPr>
      <w:rFonts w:ascii="Minion Pro" w:eastAsiaTheme="minorHAnsi" w:hAnsi="Minion Pro" w:cs="Minion Pro"/>
      <w:color w:val="000000"/>
      <w:sz w:val="24"/>
      <w:lang w:val="en-US"/>
    </w:rPr>
  </w:style>
  <w:style w:type="table" w:styleId="TableGrid">
    <w:name w:val="Table Grid"/>
    <w:basedOn w:val="TableNormal"/>
    <w:uiPriority w:val="59"/>
    <w:rsid w:val="00592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7E3768"/>
    <w:rPr>
      <w:rFonts w:asciiTheme="majorHAnsi" w:eastAsiaTheme="majorEastAsia" w:hAnsiTheme="majorHAnsi" w:cstheme="majorBidi"/>
      <w:color w:val="002A43" w:themeColor="accent1" w:themeShade="BF"/>
      <w:sz w:val="26"/>
      <w:szCs w:val="26"/>
    </w:rPr>
  </w:style>
  <w:style w:type="character" w:customStyle="1" w:styleId="Heading3Char">
    <w:name w:val="Heading 3 Char"/>
    <w:basedOn w:val="DefaultParagraphFont"/>
    <w:link w:val="Heading3"/>
    <w:uiPriority w:val="9"/>
    <w:semiHidden/>
    <w:rsid w:val="007E3768"/>
    <w:rPr>
      <w:rFonts w:asciiTheme="majorHAnsi" w:eastAsiaTheme="majorEastAsia" w:hAnsiTheme="majorHAnsi" w:cstheme="majorBidi"/>
      <w:color w:val="001C2C" w:themeColor="accent1" w:themeShade="7F"/>
      <w:sz w:val="24"/>
      <w:szCs w:val="24"/>
    </w:rPr>
  </w:style>
  <w:style w:type="character" w:customStyle="1" w:styleId="Heading4Char">
    <w:name w:val="Heading 4 Char"/>
    <w:basedOn w:val="DefaultParagraphFont"/>
    <w:link w:val="Heading4"/>
    <w:uiPriority w:val="9"/>
    <w:semiHidden/>
    <w:rsid w:val="007E3768"/>
    <w:rPr>
      <w:rFonts w:asciiTheme="majorHAnsi" w:eastAsiaTheme="majorEastAsia" w:hAnsiTheme="majorHAnsi" w:cstheme="majorBidi"/>
      <w:i/>
      <w:iCs/>
      <w:color w:val="002A43" w:themeColor="accent1" w:themeShade="BF"/>
      <w:sz w:val="20"/>
      <w:szCs w:val="24"/>
    </w:rPr>
  </w:style>
  <w:style w:type="paragraph" w:styleId="Title">
    <w:name w:val="Title"/>
    <w:basedOn w:val="Normal"/>
    <w:next w:val="Normal"/>
    <w:link w:val="TitleChar"/>
    <w:uiPriority w:val="10"/>
    <w:qFormat/>
    <w:rsid w:val="00DA7AED"/>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A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AE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A7AED"/>
    <w:rPr>
      <w:rFonts w:eastAsiaTheme="minorEastAsia"/>
      <w:color w:val="5A5A5A" w:themeColor="text1" w:themeTint="A5"/>
      <w:spacing w:val="15"/>
    </w:rPr>
  </w:style>
  <w:style w:type="character" w:styleId="SubtleEmphasis">
    <w:name w:val="Subtle Emphasis"/>
    <w:basedOn w:val="DefaultParagraphFont"/>
    <w:uiPriority w:val="19"/>
    <w:qFormat/>
    <w:rsid w:val="00DA7AED"/>
    <w:rPr>
      <w:i/>
      <w:iCs/>
      <w:color w:val="404040" w:themeColor="text1" w:themeTint="BF"/>
    </w:rPr>
  </w:style>
  <w:style w:type="character" w:styleId="Emphasis">
    <w:name w:val="Emphasis"/>
    <w:basedOn w:val="DefaultParagraphFont"/>
    <w:uiPriority w:val="20"/>
    <w:qFormat/>
    <w:rsid w:val="00DA7AED"/>
    <w:rPr>
      <w:i/>
      <w:iCs/>
    </w:rPr>
  </w:style>
  <w:style w:type="character" w:styleId="IntenseEmphasis">
    <w:name w:val="Intense Emphasis"/>
    <w:basedOn w:val="DefaultParagraphFont"/>
    <w:uiPriority w:val="21"/>
    <w:qFormat/>
    <w:rsid w:val="00DA7AED"/>
    <w:rPr>
      <w:i/>
      <w:iCs/>
      <w:color w:val="00395A" w:themeColor="accent1"/>
    </w:rPr>
  </w:style>
  <w:style w:type="paragraph" w:styleId="IntenseQuote">
    <w:name w:val="Intense Quote"/>
    <w:basedOn w:val="Normal"/>
    <w:next w:val="Normal"/>
    <w:link w:val="IntenseQuoteChar"/>
    <w:uiPriority w:val="30"/>
    <w:qFormat/>
    <w:rsid w:val="00DA7AED"/>
    <w:pPr>
      <w:pBdr>
        <w:top w:val="single" w:sz="4" w:space="10" w:color="00395A" w:themeColor="accent1"/>
        <w:bottom w:val="single" w:sz="4" w:space="10" w:color="00395A"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DA7AED"/>
    <w:rPr>
      <w:rFonts w:ascii="AmcorPro Light" w:eastAsia="Times New Roman" w:hAnsi="AmcorPro Light" w:cs="Times New Roman"/>
      <w:i/>
      <w:iCs/>
      <w:color w:val="00395A" w:themeColor="accent1"/>
      <w:sz w:val="20"/>
      <w:szCs w:val="24"/>
    </w:rPr>
  </w:style>
  <w:style w:type="paragraph" w:styleId="Quote">
    <w:name w:val="Quote"/>
    <w:basedOn w:val="Normal"/>
    <w:next w:val="Normal"/>
    <w:link w:val="QuoteChar"/>
    <w:uiPriority w:val="29"/>
    <w:qFormat/>
    <w:rsid w:val="00DA7A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A7AED"/>
    <w:rPr>
      <w:rFonts w:ascii="AmcorPro Light" w:eastAsia="Times New Roman" w:hAnsi="AmcorPro Light" w:cs="Times New Roman"/>
      <w:i/>
      <w:iCs/>
      <w:color w:val="404040" w:themeColor="text1" w:themeTint="BF"/>
      <w:sz w:val="20"/>
      <w:szCs w:val="24"/>
    </w:rPr>
  </w:style>
  <w:style w:type="character" w:styleId="SubtleReference">
    <w:name w:val="Subtle Reference"/>
    <w:basedOn w:val="DefaultParagraphFont"/>
    <w:uiPriority w:val="31"/>
    <w:qFormat/>
    <w:rsid w:val="00DA7AED"/>
    <w:rPr>
      <w:smallCaps/>
      <w:color w:val="5A5A5A" w:themeColor="text1" w:themeTint="A5"/>
    </w:rPr>
  </w:style>
  <w:style w:type="character" w:styleId="IntenseReference">
    <w:name w:val="Intense Reference"/>
    <w:basedOn w:val="DefaultParagraphFont"/>
    <w:uiPriority w:val="32"/>
    <w:qFormat/>
    <w:rsid w:val="00DA7AED"/>
    <w:rPr>
      <w:b/>
      <w:bCs/>
      <w:smallCaps/>
      <w:color w:val="00395A" w:themeColor="accent1"/>
      <w:spacing w:val="5"/>
    </w:rPr>
  </w:style>
  <w:style w:type="character" w:styleId="BookTitle">
    <w:name w:val="Book Title"/>
    <w:basedOn w:val="DefaultParagraphFont"/>
    <w:uiPriority w:val="33"/>
    <w:qFormat/>
    <w:rsid w:val="00DA7AED"/>
    <w:rPr>
      <w:b/>
      <w:bCs/>
      <w:i/>
      <w:iCs/>
      <w:spacing w:val="5"/>
    </w:rPr>
  </w:style>
  <w:style w:type="paragraph" w:styleId="ListParagraph">
    <w:name w:val="List Paragraph"/>
    <w:basedOn w:val="Normal"/>
    <w:uiPriority w:val="34"/>
    <w:qFormat/>
    <w:rsid w:val="00DA7AED"/>
    <w:pPr>
      <w:ind w:left="720"/>
      <w:contextualSpacing/>
    </w:pPr>
  </w:style>
  <w:style w:type="paragraph" w:styleId="Revision">
    <w:name w:val="Revision"/>
    <w:hidden/>
    <w:uiPriority w:val="99"/>
    <w:semiHidden/>
    <w:rsid w:val="00645E06"/>
    <w:pPr>
      <w:spacing w:after="0" w:line="240" w:lineRule="auto"/>
    </w:pPr>
    <w:rPr>
      <w:rFonts w:eastAsia="Times New Roman" w:cs="Times New Roman"/>
      <w:color w:val="00395A" w:themeColor="accent1"/>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3806">
      <w:bodyDiv w:val="1"/>
      <w:marLeft w:val="0"/>
      <w:marRight w:val="0"/>
      <w:marTop w:val="0"/>
      <w:marBottom w:val="0"/>
      <w:divBdr>
        <w:top w:val="none" w:sz="0" w:space="0" w:color="auto"/>
        <w:left w:val="none" w:sz="0" w:space="0" w:color="auto"/>
        <w:bottom w:val="none" w:sz="0" w:space="0" w:color="auto"/>
        <w:right w:val="none" w:sz="0" w:space="0" w:color="auto"/>
      </w:divBdr>
    </w:div>
    <w:div w:id="167642464">
      <w:bodyDiv w:val="1"/>
      <w:marLeft w:val="0"/>
      <w:marRight w:val="0"/>
      <w:marTop w:val="0"/>
      <w:marBottom w:val="0"/>
      <w:divBdr>
        <w:top w:val="none" w:sz="0" w:space="0" w:color="auto"/>
        <w:left w:val="none" w:sz="0" w:space="0" w:color="auto"/>
        <w:bottom w:val="none" w:sz="0" w:space="0" w:color="auto"/>
        <w:right w:val="none" w:sz="0" w:space="0" w:color="auto"/>
      </w:divBdr>
    </w:div>
    <w:div w:id="707031164">
      <w:bodyDiv w:val="1"/>
      <w:marLeft w:val="0"/>
      <w:marRight w:val="0"/>
      <w:marTop w:val="0"/>
      <w:marBottom w:val="0"/>
      <w:divBdr>
        <w:top w:val="none" w:sz="0" w:space="0" w:color="auto"/>
        <w:left w:val="none" w:sz="0" w:space="0" w:color="auto"/>
        <w:bottom w:val="none" w:sz="0" w:space="0" w:color="auto"/>
        <w:right w:val="none" w:sz="0" w:space="0" w:color="auto"/>
      </w:divBdr>
    </w:div>
    <w:div w:id="100377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user/amcorpackagin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inkedin.com/company/amco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mcor.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mcor@nmpr.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Bushby\AppData\Local\Microsoft\Windows\INetCache\Content.Outlook\89YNIORD\Word%20doc%20template_press_release_FY26%20(002).dotx" TargetMode="External"/></Relationships>
</file>

<file path=word/theme/theme1.xml><?xml version="1.0" encoding="utf-8"?>
<a:theme xmlns:a="http://schemas.openxmlformats.org/drawingml/2006/main" name="Office Theme">
  <a:themeElements>
    <a:clrScheme name="amcor">
      <a:dk1>
        <a:sysClr val="windowText" lastClr="000000"/>
      </a:dk1>
      <a:lt1>
        <a:sysClr val="window" lastClr="FFFFFF"/>
      </a:lt1>
      <a:dk2>
        <a:srgbClr val="93328E"/>
      </a:dk2>
      <a:lt2>
        <a:srgbClr val="FFC72C"/>
      </a:lt2>
      <a:accent1>
        <a:srgbClr val="00395A"/>
      </a:accent1>
      <a:accent2>
        <a:srgbClr val="00A1DE"/>
      </a:accent2>
      <a:accent3>
        <a:srgbClr val="00A551"/>
      </a:accent3>
      <a:accent4>
        <a:srgbClr val="E98300"/>
      </a:accent4>
      <a:accent5>
        <a:srgbClr val="1BCDAC"/>
      </a:accent5>
      <a:accent6>
        <a:srgbClr val="C90062"/>
      </a:accent6>
      <a:hlink>
        <a:srgbClr val="00A1DE"/>
      </a:hlink>
      <a:folHlink>
        <a:srgbClr val="00395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4E9A8A3DF58542941368E1EC371C98" ma:contentTypeVersion="19" ma:contentTypeDescription="Create a new document." ma:contentTypeScope="" ma:versionID="f04c866c1a5be4f8001423ed3ddf0173">
  <xsd:schema xmlns:xsd="http://www.w3.org/2001/XMLSchema" xmlns:xs="http://www.w3.org/2001/XMLSchema" xmlns:p="http://schemas.microsoft.com/office/2006/metadata/properties" xmlns:ns2="9d5e9078-88d9-414a-bddf-c6e4744d6ecb" xmlns:ns3="dea9999f-3ac5-4f36-a448-7a2a279a5baf" targetNamespace="http://schemas.microsoft.com/office/2006/metadata/properties" ma:root="true" ma:fieldsID="4033101c734d00962d633dcf4510967d" ns2:_="" ns3:_="">
    <xsd:import namespace="9d5e9078-88d9-414a-bddf-c6e4744d6ecb"/>
    <xsd:import namespace="dea9999f-3ac5-4f36-a448-7a2a279a5b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e9078-88d9-414a-bddf-c6e4744d6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05fb59-f5e6-46a8-8628-df500ed29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a9999f-3ac5-4f36-a448-7a2a279a5b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3f34b8-b315-4bd9-99ad-28f536fad22f}" ma:internalName="TaxCatchAll" ma:showField="CatchAllData" ma:web="dea9999f-3ac5-4f36-a448-7a2a279a5b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5e9078-88d9-414a-bddf-c6e4744d6ecb">
      <Terms xmlns="http://schemas.microsoft.com/office/infopath/2007/PartnerControls"/>
    </lcf76f155ced4ddcb4097134ff3c332f>
    <TaxCatchAll xmlns="dea9999f-3ac5-4f36-a448-7a2a279a5baf" xsi:nil="true"/>
  </documentManagement>
</p:properties>
</file>

<file path=customXml/itemProps1.xml><?xml version="1.0" encoding="utf-8"?>
<ds:datastoreItem xmlns:ds="http://schemas.openxmlformats.org/officeDocument/2006/customXml" ds:itemID="{08C02E26-9C74-4F83-A381-AF90467DDA44}">
  <ds:schemaRefs>
    <ds:schemaRef ds:uri="http://schemas.openxmlformats.org/officeDocument/2006/bibliography"/>
  </ds:schemaRefs>
</ds:datastoreItem>
</file>

<file path=customXml/itemProps2.xml><?xml version="1.0" encoding="utf-8"?>
<ds:datastoreItem xmlns:ds="http://schemas.openxmlformats.org/officeDocument/2006/customXml" ds:itemID="{96253B5A-31A6-4A6A-8712-E8B804630F4A}">
  <ds:schemaRefs>
    <ds:schemaRef ds:uri="http://schemas.microsoft.com/sharepoint/v3/contenttype/forms"/>
  </ds:schemaRefs>
</ds:datastoreItem>
</file>

<file path=customXml/itemProps3.xml><?xml version="1.0" encoding="utf-8"?>
<ds:datastoreItem xmlns:ds="http://schemas.openxmlformats.org/officeDocument/2006/customXml" ds:itemID="{C73A83B4-BB13-43D1-8640-0F3E1CE02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e9078-88d9-414a-bddf-c6e4744d6ecb"/>
    <ds:schemaRef ds:uri="dea9999f-3ac5-4f36-a448-7a2a279a5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46D475-F145-405E-9088-55755A4C096A}">
  <ds:schemaRefs>
    <ds:schemaRef ds:uri="http://schemas.microsoft.com/office/2006/metadata/properties"/>
    <ds:schemaRef ds:uri="http://schemas.microsoft.com/office/infopath/2007/PartnerControls"/>
    <ds:schemaRef ds:uri="9d5e9078-88d9-414a-bddf-c6e4744d6ecb"/>
    <ds:schemaRef ds:uri="dea9999f-3ac5-4f36-a448-7a2a279a5baf"/>
  </ds:schemaRefs>
</ds:datastoreItem>
</file>

<file path=docProps/app.xml><?xml version="1.0" encoding="utf-8"?>
<Properties xmlns="http://schemas.openxmlformats.org/officeDocument/2006/extended-properties" xmlns:vt="http://schemas.openxmlformats.org/officeDocument/2006/docPropsVTypes">
  <Template>Word doc template_press_release_FY26 (002).dotx</Template>
  <TotalTime>4</TotalTime>
  <Pages>2</Pages>
  <Words>469</Words>
  <Characters>2774</Characters>
  <Application>Microsoft Office Word</Application>
  <DocSecurity>0</DocSecurity>
  <Lines>59</Lines>
  <Paragraphs>28</Paragraphs>
  <ScaleCrop>false</ScaleCrop>
  <HeadingPairs>
    <vt:vector size="2" baseType="variant">
      <vt:variant>
        <vt:lpstr>Title</vt:lpstr>
      </vt:variant>
      <vt:variant>
        <vt:i4>1</vt:i4>
      </vt:variant>
    </vt:vector>
  </HeadingPairs>
  <TitlesOfParts>
    <vt:vector size="1" baseType="lpstr">
      <vt:lpstr/>
    </vt:vector>
  </TitlesOfParts>
  <Company>Amcor</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Bushby</dc:creator>
  <cp:keywords/>
  <cp:lastModifiedBy>Ellie Smith</cp:lastModifiedBy>
  <cp:revision>15</cp:revision>
  <dcterms:created xsi:type="dcterms:W3CDTF">2026-06-16T13:03:00Z</dcterms:created>
  <dcterms:modified xsi:type="dcterms:W3CDTF">2026-07-06T12:57:00Z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0x010100644E9A8A3DF58542941368E1EC371C98</vt:lpwstr>
  </property>
  <property fmtid="{D5CDD505-2E9C-101B-9397-08002B2CF9AE}" pid="3" name="MediaServiceImageTags">
    <vt:lpwstr/>
  </property>
  <property fmtid="{D5CDD505-2E9C-101B-9397-08002B2CF9AE}" pid="4" name="Order">
    <vt:r8>515200</vt:r8>
  </property>
  <property fmtid="{D5CDD505-2E9C-101B-9397-08002B2CF9AE}" pid="5" name="_ExtendedDescription">
    <vt:lpwstr/>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GrammarlyDocumentId">
    <vt:lpwstr>c70ee8cb-df7c-415b-bc08-b56866cc8071</vt:lpwstr>
  </property>
  <property fmtid="{D5CDD505-2E9C-101B-9397-08002B2CF9AE}" pid="12" name="docLang">
    <vt:lpwstr>en</vt:lpwstr>
  </property>
</Properties>
</file>