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30B0" w14:textId="2188403D" w:rsidR="00B330FB" w:rsidRPr="00C965B2" w:rsidRDefault="001277F1" w:rsidP="00BC37B9">
      <w:pPr>
        <w:rPr>
          <w:lang w:val="en-US"/>
        </w:rPr>
      </w:pPr>
      <w:r w:rsidRPr="00C965B2">
        <w:rPr>
          <w:noProof/>
          <w:lang w:val="en-US"/>
        </w:rPr>
        <w:drawing>
          <wp:inline distT="0" distB="0" distL="0" distR="0" wp14:anchorId="1C718A1C" wp14:editId="0A94BB34">
            <wp:extent cx="2818479" cy="923027"/>
            <wp:effectExtent l="0" t="0" r="1270" b="0"/>
            <wp:docPr id="14388747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74736" name="Image 14388747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0569" cy="940086"/>
                    </a:xfrm>
                    <a:prstGeom prst="rect">
                      <a:avLst/>
                    </a:prstGeom>
                  </pic:spPr>
                </pic:pic>
              </a:graphicData>
            </a:graphic>
          </wp:inline>
        </w:drawing>
      </w:r>
      <w:r w:rsidRPr="00C965B2">
        <w:rPr>
          <w:lang w:val="en-US"/>
        </w:rPr>
        <w:t xml:space="preserve">             </w:t>
      </w:r>
      <w:r w:rsidR="00BC37B9" w:rsidRPr="00C965B2">
        <w:rPr>
          <w:noProof/>
          <w:lang w:val="en-US"/>
        </w:rPr>
        <w:drawing>
          <wp:inline distT="0" distB="0" distL="0" distR="0" wp14:anchorId="4F7FF5D2" wp14:editId="33FD64D0">
            <wp:extent cx="2033625" cy="894715"/>
            <wp:effectExtent l="0" t="0" r="5080" b="635"/>
            <wp:docPr id="1800547659" name="Image 2" descr="Moulding - SAC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ulding - SACM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0261" cy="906434"/>
                    </a:xfrm>
                    <a:prstGeom prst="rect">
                      <a:avLst/>
                    </a:prstGeom>
                    <a:noFill/>
                    <a:ln>
                      <a:noFill/>
                    </a:ln>
                  </pic:spPr>
                </pic:pic>
              </a:graphicData>
            </a:graphic>
          </wp:inline>
        </w:drawing>
      </w:r>
    </w:p>
    <w:p w14:paraId="07A28CF7" w14:textId="77777777" w:rsidR="00450BAC" w:rsidRPr="00C965B2" w:rsidRDefault="00450BAC" w:rsidP="001277F1">
      <w:pPr>
        <w:jc w:val="center"/>
        <w:rPr>
          <w:sz w:val="4"/>
          <w:szCs w:val="4"/>
          <w:lang w:val="en-US"/>
        </w:rPr>
      </w:pPr>
    </w:p>
    <w:p w14:paraId="4E270202" w14:textId="6305F0AF" w:rsidR="000C7095" w:rsidRPr="00C965B2" w:rsidRDefault="00F33476" w:rsidP="00DE05AB">
      <w:pPr>
        <w:spacing w:after="60"/>
        <w:jc w:val="both"/>
        <w:rPr>
          <w:b/>
          <w:bCs/>
          <w:sz w:val="23"/>
          <w:szCs w:val="23"/>
          <w:lang w:val="en-US"/>
        </w:rPr>
      </w:pPr>
      <w:r w:rsidRPr="00C965B2">
        <w:rPr>
          <w:b/>
          <w:bCs/>
          <w:sz w:val="23"/>
          <w:szCs w:val="23"/>
          <w:lang w:val="en-US"/>
        </w:rPr>
        <w:t>SACMI acquires majority stake in Groupe Emballage Technologies</w:t>
      </w:r>
    </w:p>
    <w:p w14:paraId="7CEBA903" w14:textId="5D4D0A1F" w:rsidR="002E5417" w:rsidRPr="00C965B2" w:rsidRDefault="00D57DC8" w:rsidP="00851D71">
      <w:pPr>
        <w:spacing w:after="40"/>
        <w:jc w:val="both"/>
        <w:rPr>
          <w:i/>
          <w:iCs/>
          <w:sz w:val="23"/>
          <w:szCs w:val="23"/>
          <w:lang w:val="en-US"/>
        </w:rPr>
      </w:pPr>
      <w:r w:rsidRPr="00C965B2">
        <w:rPr>
          <w:i/>
          <w:iCs/>
          <w:sz w:val="23"/>
          <w:szCs w:val="23"/>
          <w:lang w:val="en-US"/>
        </w:rPr>
        <w:t xml:space="preserve">This </w:t>
      </w:r>
      <w:r w:rsidR="00C965B2">
        <w:rPr>
          <w:i/>
          <w:iCs/>
          <w:sz w:val="23"/>
          <w:szCs w:val="23"/>
          <w:lang w:val="en-US"/>
        </w:rPr>
        <w:t xml:space="preserve">operation </w:t>
      </w:r>
      <w:r w:rsidRPr="00C965B2">
        <w:rPr>
          <w:i/>
          <w:iCs/>
          <w:sz w:val="23"/>
          <w:szCs w:val="23"/>
          <w:lang w:val="en-US"/>
        </w:rPr>
        <w:t>strengthens and expands SACMI's reach in the food packaging sector. President Paolo Mongardi</w:t>
      </w:r>
      <w:r w:rsidR="00C965B2">
        <w:rPr>
          <w:i/>
          <w:iCs/>
          <w:sz w:val="23"/>
          <w:szCs w:val="23"/>
          <w:lang w:val="en-US"/>
        </w:rPr>
        <w:t xml:space="preserve"> states</w:t>
      </w:r>
      <w:r w:rsidRPr="00C965B2">
        <w:rPr>
          <w:i/>
          <w:iCs/>
          <w:sz w:val="23"/>
          <w:szCs w:val="23"/>
          <w:lang w:val="en-US"/>
        </w:rPr>
        <w:t xml:space="preserve">: “In line with our strategic vision, this acquisition further strengthens our presence </w:t>
      </w:r>
      <w:r w:rsidR="00C965B2">
        <w:rPr>
          <w:i/>
          <w:iCs/>
          <w:sz w:val="23"/>
          <w:szCs w:val="23"/>
          <w:lang w:val="en-US"/>
        </w:rPr>
        <w:t xml:space="preserve">in France </w:t>
      </w:r>
      <w:r w:rsidRPr="00C965B2">
        <w:rPr>
          <w:i/>
          <w:iCs/>
          <w:sz w:val="23"/>
          <w:szCs w:val="23"/>
          <w:lang w:val="en-US"/>
        </w:rPr>
        <w:t>and other countries.”</w:t>
      </w:r>
    </w:p>
    <w:p w14:paraId="0CFB456C" w14:textId="77777777" w:rsidR="00480234" w:rsidRPr="00C965B2" w:rsidRDefault="00480234" w:rsidP="00ED0921">
      <w:pPr>
        <w:spacing w:after="40"/>
        <w:jc w:val="both"/>
        <w:rPr>
          <w:i/>
          <w:iCs/>
          <w:sz w:val="23"/>
          <w:szCs w:val="23"/>
          <w:lang w:val="en-US"/>
        </w:rPr>
      </w:pPr>
    </w:p>
    <w:p w14:paraId="47DCBDEF" w14:textId="47DFE7B2" w:rsidR="00D406C9" w:rsidRPr="00C965B2" w:rsidRDefault="00480234" w:rsidP="00C56951">
      <w:pPr>
        <w:spacing w:after="40"/>
        <w:jc w:val="both"/>
        <w:rPr>
          <w:sz w:val="23"/>
          <w:szCs w:val="23"/>
          <w:lang w:val="en-US"/>
        </w:rPr>
      </w:pPr>
      <w:r w:rsidRPr="00C965B2">
        <w:rPr>
          <w:sz w:val="23"/>
          <w:szCs w:val="23"/>
          <w:lang w:val="en-US"/>
        </w:rPr>
        <w:t xml:space="preserve">SACMI has gained a majority share in the French group </w:t>
      </w:r>
      <w:r w:rsidRPr="00C965B2">
        <w:rPr>
          <w:b/>
          <w:sz w:val="23"/>
          <w:szCs w:val="23"/>
          <w:lang w:val="en-US"/>
        </w:rPr>
        <w:t>Emballage Technologies</w:t>
      </w:r>
      <w:r w:rsidRPr="00C965B2">
        <w:rPr>
          <w:sz w:val="23"/>
          <w:szCs w:val="23"/>
          <w:lang w:val="en-US"/>
        </w:rPr>
        <w:t xml:space="preserve">, which comprises </w:t>
      </w:r>
      <w:r w:rsidRPr="00C965B2">
        <w:rPr>
          <w:b/>
          <w:sz w:val="23"/>
          <w:szCs w:val="23"/>
          <w:lang w:val="en-US"/>
        </w:rPr>
        <w:t>Etpack</w:t>
      </w:r>
      <w:r w:rsidRPr="00C965B2">
        <w:rPr>
          <w:sz w:val="23"/>
          <w:szCs w:val="23"/>
          <w:lang w:val="en-US"/>
        </w:rPr>
        <w:t xml:space="preserve">, </w:t>
      </w:r>
      <w:r w:rsidRPr="00C965B2">
        <w:rPr>
          <w:b/>
          <w:sz w:val="23"/>
          <w:szCs w:val="23"/>
          <w:lang w:val="en-US"/>
        </w:rPr>
        <w:t>Sermatec</w:t>
      </w:r>
      <w:r w:rsidRPr="00C965B2">
        <w:rPr>
          <w:sz w:val="23"/>
          <w:szCs w:val="23"/>
          <w:lang w:val="en-US"/>
        </w:rPr>
        <w:t xml:space="preserve">, and </w:t>
      </w:r>
      <w:r w:rsidRPr="00C965B2">
        <w:rPr>
          <w:b/>
          <w:sz w:val="23"/>
          <w:szCs w:val="23"/>
          <w:lang w:val="en-US"/>
        </w:rPr>
        <w:t>Pactisoud</w:t>
      </w:r>
      <w:r w:rsidR="00C965B2">
        <w:rPr>
          <w:sz w:val="23"/>
          <w:szCs w:val="23"/>
          <w:lang w:val="en-US"/>
        </w:rPr>
        <w:t xml:space="preserve">. </w:t>
      </w:r>
      <w:r w:rsidRPr="00C965B2">
        <w:rPr>
          <w:sz w:val="23"/>
          <w:szCs w:val="23"/>
          <w:lang w:val="en-US"/>
        </w:rPr>
        <w:t xml:space="preserve">Made official on </w:t>
      </w:r>
      <w:r w:rsidR="00A527F2">
        <w:rPr>
          <w:sz w:val="23"/>
          <w:szCs w:val="23"/>
          <w:lang w:val="en-US"/>
        </w:rPr>
        <w:t xml:space="preserve">Friday </w:t>
      </w:r>
      <w:r w:rsidRPr="00C965B2">
        <w:rPr>
          <w:sz w:val="23"/>
          <w:szCs w:val="23"/>
          <w:lang w:val="en-US"/>
        </w:rPr>
        <w:t>19</w:t>
      </w:r>
      <w:r w:rsidRPr="00C965B2">
        <w:rPr>
          <w:sz w:val="23"/>
          <w:szCs w:val="23"/>
          <w:vertAlign w:val="superscript"/>
          <w:lang w:val="en-US"/>
        </w:rPr>
        <w:t>th</w:t>
      </w:r>
      <w:r w:rsidRPr="00C965B2">
        <w:rPr>
          <w:sz w:val="23"/>
          <w:szCs w:val="23"/>
          <w:lang w:val="en-US"/>
        </w:rPr>
        <w:t xml:space="preserve"> December 2025, this acquisition sees SACMI gain a </w:t>
      </w:r>
      <w:r w:rsidRPr="00C965B2">
        <w:rPr>
          <w:b/>
          <w:sz w:val="23"/>
          <w:szCs w:val="23"/>
          <w:lang w:val="en-US"/>
        </w:rPr>
        <w:t>65%</w:t>
      </w:r>
      <w:r w:rsidRPr="00C965B2">
        <w:rPr>
          <w:sz w:val="23"/>
          <w:szCs w:val="23"/>
          <w:lang w:val="en-US"/>
        </w:rPr>
        <w:t xml:space="preserve"> share. The operation was completed via the subsidiary </w:t>
      </w:r>
      <w:r w:rsidRPr="00C965B2">
        <w:rPr>
          <w:b/>
          <w:sz w:val="23"/>
          <w:szCs w:val="23"/>
          <w:lang w:val="en-US"/>
        </w:rPr>
        <w:t>SACMI Packaging &amp; Chocolate SpA</w:t>
      </w:r>
      <w:r w:rsidRPr="00C965B2">
        <w:rPr>
          <w:sz w:val="23"/>
          <w:szCs w:val="23"/>
          <w:lang w:val="en-US"/>
        </w:rPr>
        <w:t>, the SACMI Group Business Unit that operates in the food packaging sector.</w:t>
      </w:r>
    </w:p>
    <w:p w14:paraId="2661A5A1" w14:textId="09BBBEDD" w:rsidR="00DA37C4" w:rsidRPr="00C965B2" w:rsidRDefault="002452F7" w:rsidP="00DA37C4">
      <w:pPr>
        <w:spacing w:after="40"/>
        <w:jc w:val="both"/>
        <w:rPr>
          <w:sz w:val="23"/>
          <w:szCs w:val="23"/>
          <w:lang w:val="en-US"/>
        </w:rPr>
      </w:pPr>
      <w:r w:rsidRPr="00C965B2">
        <w:rPr>
          <w:sz w:val="23"/>
          <w:szCs w:val="23"/>
          <w:lang w:val="en-US"/>
        </w:rPr>
        <w:t xml:space="preserve">SACMI has been working with Etpack since 2019 through its Poland-based subsidiary. The basis for this transaction - of considerable commercial and industrial value - is, then, the strong relationship between the two industrial groups and their shared strategic vision. </w:t>
      </w:r>
    </w:p>
    <w:p w14:paraId="7BAC5DF1" w14:textId="634D3E52" w:rsidR="00D75DE2" w:rsidRPr="00C965B2" w:rsidRDefault="009B75F2" w:rsidP="00A3666E">
      <w:pPr>
        <w:spacing w:after="40"/>
        <w:jc w:val="both"/>
        <w:rPr>
          <w:sz w:val="23"/>
          <w:szCs w:val="23"/>
          <w:lang w:val="en-US"/>
        </w:rPr>
      </w:pPr>
      <w:r w:rsidRPr="00C965B2">
        <w:rPr>
          <w:sz w:val="23"/>
          <w:szCs w:val="23"/>
          <w:lang w:val="en-US"/>
        </w:rPr>
        <w:t xml:space="preserve">SACMI Packaging &amp; Chocolate thus expands and completes its range of </w:t>
      </w:r>
      <w:r w:rsidRPr="00C965B2">
        <w:rPr>
          <w:b/>
          <w:sz w:val="23"/>
          <w:szCs w:val="23"/>
          <w:lang w:val="en-US"/>
        </w:rPr>
        <w:t>secondary packaging</w:t>
      </w:r>
      <w:r w:rsidRPr="00C965B2">
        <w:rPr>
          <w:sz w:val="23"/>
          <w:szCs w:val="23"/>
          <w:lang w:val="en-US"/>
        </w:rPr>
        <w:t xml:space="preserve"> solutions by integrating </w:t>
      </w:r>
      <w:r w:rsidRPr="00C965B2">
        <w:rPr>
          <w:b/>
          <w:sz w:val="23"/>
          <w:szCs w:val="23"/>
          <w:lang w:val="en-US"/>
        </w:rPr>
        <w:t>specific technologies</w:t>
      </w:r>
      <w:r w:rsidRPr="00C965B2">
        <w:rPr>
          <w:sz w:val="23"/>
          <w:szCs w:val="23"/>
          <w:lang w:val="en-US"/>
        </w:rPr>
        <w:t xml:space="preserve">, with the resulting expansion of the offering allowing the company to reach into </w:t>
      </w:r>
      <w:r w:rsidRPr="00C965B2">
        <w:rPr>
          <w:b/>
          <w:sz w:val="23"/>
          <w:szCs w:val="23"/>
          <w:lang w:val="en-US"/>
        </w:rPr>
        <w:t>additional industries and market segments</w:t>
      </w:r>
      <w:r w:rsidRPr="00C965B2">
        <w:rPr>
          <w:sz w:val="23"/>
          <w:szCs w:val="23"/>
          <w:lang w:val="en-US"/>
        </w:rPr>
        <w:t xml:space="preserve">. This synergy also extends to the </w:t>
      </w:r>
      <w:r w:rsidRPr="00C965B2">
        <w:rPr>
          <w:b/>
          <w:sz w:val="23"/>
          <w:szCs w:val="23"/>
          <w:lang w:val="en-US"/>
        </w:rPr>
        <w:t>construction and assembly</w:t>
      </w:r>
      <w:r w:rsidRPr="00C965B2">
        <w:rPr>
          <w:sz w:val="23"/>
          <w:szCs w:val="23"/>
          <w:lang w:val="en-US"/>
        </w:rPr>
        <w:t xml:space="preserve"> of the flowpack ranges and the low-</w:t>
      </w:r>
      <w:r w:rsidR="00C965B2">
        <w:rPr>
          <w:sz w:val="23"/>
          <w:szCs w:val="23"/>
          <w:lang w:val="en-US"/>
        </w:rPr>
        <w:t xml:space="preserve"> </w:t>
      </w:r>
      <w:r w:rsidRPr="00C965B2">
        <w:rPr>
          <w:sz w:val="23"/>
          <w:szCs w:val="23"/>
          <w:lang w:val="en-US"/>
        </w:rPr>
        <w:t>and medium-speed vertical packaging machines - designed by SACMI and assembled in Sermatec - thus boosting the ability to respond to market dynamics.</w:t>
      </w:r>
    </w:p>
    <w:p w14:paraId="58B75403" w14:textId="722F25AD" w:rsidR="00F122E5" w:rsidRPr="00C965B2" w:rsidRDefault="007E1DF2" w:rsidP="00C56951">
      <w:pPr>
        <w:spacing w:after="40"/>
        <w:jc w:val="both"/>
        <w:rPr>
          <w:sz w:val="23"/>
          <w:szCs w:val="23"/>
          <w:lang w:val="en-US"/>
        </w:rPr>
      </w:pPr>
      <w:r w:rsidRPr="00C965B2">
        <w:rPr>
          <w:i/>
          <w:iCs/>
          <w:sz w:val="23"/>
          <w:szCs w:val="23"/>
          <w:lang w:val="en-US"/>
        </w:rPr>
        <w:t>Groupe Emballage Technologies</w:t>
      </w:r>
      <w:r w:rsidRPr="00C965B2">
        <w:rPr>
          <w:sz w:val="23"/>
          <w:szCs w:val="23"/>
          <w:lang w:val="en-US"/>
        </w:rPr>
        <w:t xml:space="preserve"> is a renowned name in France, and SACMI is confident that it will be a major growth driver on this market, in keeping with the goal of achieving a </w:t>
      </w:r>
      <w:r w:rsidRPr="00C965B2">
        <w:rPr>
          <w:b/>
          <w:sz w:val="23"/>
          <w:szCs w:val="23"/>
          <w:lang w:val="en-US"/>
        </w:rPr>
        <w:t>strong local presence</w:t>
      </w:r>
      <w:r w:rsidRPr="00C965B2">
        <w:rPr>
          <w:sz w:val="23"/>
          <w:szCs w:val="23"/>
          <w:lang w:val="en-US"/>
        </w:rPr>
        <w:t xml:space="preserve"> via a network of production and sales facilities. Note also that this operation aligns with SACMI Packaging &amp; Chocolate’s broader business strategy: indeed, the company is already present internationally in Poland, the DACH countries and the United States.</w:t>
      </w:r>
    </w:p>
    <w:p w14:paraId="5E8061FD" w14:textId="07F4600E" w:rsidR="00032F59" w:rsidRPr="00C965B2" w:rsidRDefault="00C51EC7" w:rsidP="004E4510">
      <w:pPr>
        <w:spacing w:after="0"/>
        <w:jc w:val="both"/>
        <w:rPr>
          <w:sz w:val="23"/>
          <w:szCs w:val="23"/>
          <w:lang w:val="en-US"/>
        </w:rPr>
      </w:pPr>
      <w:r w:rsidRPr="00C965B2">
        <w:rPr>
          <w:sz w:val="23"/>
          <w:szCs w:val="23"/>
          <w:lang w:val="en-US"/>
        </w:rPr>
        <w:t xml:space="preserve">“Strengthening our food packaging operations is a key SACMI goal,” notes the President of SACMI, </w:t>
      </w:r>
      <w:r w:rsidRPr="00C965B2">
        <w:rPr>
          <w:b/>
          <w:sz w:val="23"/>
          <w:szCs w:val="23"/>
          <w:lang w:val="en-US"/>
        </w:rPr>
        <w:t>Paolo Mongardi</w:t>
      </w:r>
      <w:r w:rsidRPr="00C965B2">
        <w:rPr>
          <w:sz w:val="23"/>
          <w:szCs w:val="23"/>
          <w:lang w:val="en-US"/>
        </w:rPr>
        <w:t xml:space="preserve">. “The skills and far-reaching presence of </w:t>
      </w:r>
      <w:r w:rsidRPr="00C965B2">
        <w:rPr>
          <w:i/>
          <w:iCs/>
          <w:sz w:val="23"/>
          <w:szCs w:val="23"/>
          <w:lang w:val="en-US"/>
        </w:rPr>
        <w:t>Groupe Emballage Technologies</w:t>
      </w:r>
      <w:r w:rsidRPr="00C965B2">
        <w:rPr>
          <w:sz w:val="23"/>
          <w:szCs w:val="23"/>
          <w:lang w:val="en-US"/>
        </w:rPr>
        <w:t xml:space="preserve"> on the French market will bolster our growth there, which is extremely important to us. The complementary nature of our primary and secondary packaging solutions completes SACMI's technological proposal,” adds Paolo Mongardi, “opening up new market opportunities via the full involvement of our Global Network.”</w:t>
      </w:r>
    </w:p>
    <w:p w14:paraId="50C18C27" w14:textId="504E72E2" w:rsidR="00D8432A" w:rsidRPr="00C965B2" w:rsidRDefault="008B4451" w:rsidP="008033C1">
      <w:pPr>
        <w:spacing w:after="40"/>
        <w:jc w:val="both"/>
        <w:rPr>
          <w:sz w:val="23"/>
          <w:szCs w:val="23"/>
          <w:lang w:val="en-US"/>
        </w:rPr>
      </w:pPr>
      <w:r w:rsidRPr="00C965B2">
        <w:rPr>
          <w:sz w:val="23"/>
          <w:szCs w:val="23"/>
          <w:lang w:val="en-US"/>
        </w:rPr>
        <w:t>“</w:t>
      </w:r>
      <w:r w:rsidRPr="00C965B2">
        <w:rPr>
          <w:i/>
          <w:iCs/>
          <w:sz w:val="23"/>
          <w:szCs w:val="23"/>
          <w:lang w:val="en-US"/>
        </w:rPr>
        <w:t>Groupe Emballage Technologies</w:t>
      </w:r>
      <w:r w:rsidRPr="00C965B2">
        <w:rPr>
          <w:sz w:val="23"/>
          <w:szCs w:val="23"/>
          <w:lang w:val="en-US"/>
        </w:rPr>
        <w:t xml:space="preserve"> will retain its managerial autonomy: a crucial aspect, in light of the excellent work done in recent years,” comments </w:t>
      </w:r>
      <w:r w:rsidRPr="00C965B2">
        <w:rPr>
          <w:b/>
          <w:sz w:val="23"/>
          <w:szCs w:val="23"/>
          <w:lang w:val="en-US"/>
        </w:rPr>
        <w:t>Pierrick Doux</w:t>
      </w:r>
      <w:r w:rsidRPr="00C965B2">
        <w:rPr>
          <w:sz w:val="23"/>
          <w:szCs w:val="23"/>
          <w:lang w:val="en-US"/>
        </w:rPr>
        <w:t xml:space="preserve">, who has been at the </w:t>
      </w:r>
      <w:r w:rsidR="00C965B2">
        <w:rPr>
          <w:sz w:val="23"/>
          <w:szCs w:val="23"/>
          <w:lang w:val="en-US"/>
        </w:rPr>
        <w:t xml:space="preserve">Group’s </w:t>
      </w:r>
      <w:r w:rsidRPr="00C965B2">
        <w:rPr>
          <w:sz w:val="23"/>
          <w:szCs w:val="23"/>
          <w:lang w:val="en-US"/>
        </w:rPr>
        <w:t>helm since 2007. “Close</w:t>
      </w:r>
      <w:r w:rsidR="00C965B2">
        <w:rPr>
          <w:sz w:val="23"/>
          <w:szCs w:val="23"/>
          <w:lang w:val="en-US"/>
        </w:rPr>
        <w:t>r</w:t>
      </w:r>
      <w:r w:rsidRPr="00C965B2">
        <w:rPr>
          <w:sz w:val="23"/>
          <w:szCs w:val="23"/>
          <w:lang w:val="en-US"/>
        </w:rPr>
        <w:t xml:space="preserve"> teamwork will facilitate the pursuit of shared strategic goals, helping to boost growth both in France and abroad.”</w:t>
      </w:r>
    </w:p>
    <w:p w14:paraId="427B1393" w14:textId="77777777" w:rsidR="00457145" w:rsidRPr="00C965B2" w:rsidRDefault="006332E2" w:rsidP="00ED0921">
      <w:pPr>
        <w:spacing w:after="40"/>
        <w:jc w:val="both"/>
        <w:rPr>
          <w:sz w:val="23"/>
          <w:szCs w:val="23"/>
          <w:lang w:val="en-US"/>
        </w:rPr>
      </w:pPr>
      <w:r w:rsidRPr="00C965B2">
        <w:rPr>
          <w:sz w:val="23"/>
          <w:szCs w:val="23"/>
          <w:lang w:val="en-US"/>
        </w:rPr>
        <w:t xml:space="preserve">The first official market event will be the </w:t>
      </w:r>
      <w:r w:rsidRPr="00C965B2">
        <w:rPr>
          <w:b/>
          <w:sz w:val="23"/>
          <w:szCs w:val="23"/>
          <w:lang w:val="en-US"/>
        </w:rPr>
        <w:t>CFIA</w:t>
      </w:r>
      <w:r w:rsidRPr="00C965B2">
        <w:rPr>
          <w:sz w:val="23"/>
          <w:szCs w:val="23"/>
          <w:lang w:val="en-US"/>
        </w:rPr>
        <w:t xml:space="preserve"> trade fair in </w:t>
      </w:r>
      <w:r w:rsidRPr="00C965B2">
        <w:rPr>
          <w:b/>
          <w:sz w:val="23"/>
          <w:szCs w:val="23"/>
          <w:lang w:val="en-US"/>
        </w:rPr>
        <w:t>Rennes</w:t>
      </w:r>
      <w:r w:rsidRPr="00C965B2">
        <w:rPr>
          <w:sz w:val="23"/>
          <w:szCs w:val="23"/>
          <w:lang w:val="en-US"/>
        </w:rPr>
        <w:t xml:space="preserve"> in March 2026.</w:t>
      </w:r>
    </w:p>
    <w:p w14:paraId="6BDD4579" w14:textId="06AACD7D" w:rsidR="000C7095" w:rsidRPr="00C965B2" w:rsidRDefault="000C7095" w:rsidP="00ED0921">
      <w:pPr>
        <w:spacing w:after="40"/>
        <w:jc w:val="both"/>
        <w:rPr>
          <w:lang w:val="en-US"/>
        </w:rPr>
      </w:pPr>
    </w:p>
    <w:sectPr w:rsidR="000C7095" w:rsidRPr="00C965B2" w:rsidSect="00D13CC5">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FB"/>
    <w:rsid w:val="00010A22"/>
    <w:rsid w:val="000134AB"/>
    <w:rsid w:val="00013988"/>
    <w:rsid w:val="0002471A"/>
    <w:rsid w:val="00025EAF"/>
    <w:rsid w:val="00032F59"/>
    <w:rsid w:val="000335A8"/>
    <w:rsid w:val="00034211"/>
    <w:rsid w:val="00034A63"/>
    <w:rsid w:val="000472DE"/>
    <w:rsid w:val="0005062C"/>
    <w:rsid w:val="00052F47"/>
    <w:rsid w:val="00064747"/>
    <w:rsid w:val="00081B9D"/>
    <w:rsid w:val="00082A1B"/>
    <w:rsid w:val="00083D3B"/>
    <w:rsid w:val="00091CED"/>
    <w:rsid w:val="00092463"/>
    <w:rsid w:val="00092A11"/>
    <w:rsid w:val="0009321E"/>
    <w:rsid w:val="000A0938"/>
    <w:rsid w:val="000A27DF"/>
    <w:rsid w:val="000A2A5B"/>
    <w:rsid w:val="000B0338"/>
    <w:rsid w:val="000B2279"/>
    <w:rsid w:val="000B344B"/>
    <w:rsid w:val="000C3D05"/>
    <w:rsid w:val="000C7095"/>
    <w:rsid w:val="000D2686"/>
    <w:rsid w:val="000D4DA9"/>
    <w:rsid w:val="000E5837"/>
    <w:rsid w:val="000F1779"/>
    <w:rsid w:val="000F2C8E"/>
    <w:rsid w:val="000F78B2"/>
    <w:rsid w:val="00114C82"/>
    <w:rsid w:val="0011643F"/>
    <w:rsid w:val="0012147C"/>
    <w:rsid w:val="00123861"/>
    <w:rsid w:val="00124577"/>
    <w:rsid w:val="00127100"/>
    <w:rsid w:val="001277F1"/>
    <w:rsid w:val="00130CC3"/>
    <w:rsid w:val="001356F4"/>
    <w:rsid w:val="0014254D"/>
    <w:rsid w:val="00143637"/>
    <w:rsid w:val="00145667"/>
    <w:rsid w:val="00152044"/>
    <w:rsid w:val="0015565A"/>
    <w:rsid w:val="001649C0"/>
    <w:rsid w:val="00177760"/>
    <w:rsid w:val="00197A6B"/>
    <w:rsid w:val="001A034B"/>
    <w:rsid w:val="001A474E"/>
    <w:rsid w:val="001C3F32"/>
    <w:rsid w:val="001D174F"/>
    <w:rsid w:val="001D3446"/>
    <w:rsid w:val="001D556C"/>
    <w:rsid w:val="001D5EA6"/>
    <w:rsid w:val="001F06CF"/>
    <w:rsid w:val="001F3D37"/>
    <w:rsid w:val="001F4AE6"/>
    <w:rsid w:val="001F661A"/>
    <w:rsid w:val="002033A9"/>
    <w:rsid w:val="00205F28"/>
    <w:rsid w:val="0021458F"/>
    <w:rsid w:val="00224346"/>
    <w:rsid w:val="00224570"/>
    <w:rsid w:val="00233030"/>
    <w:rsid w:val="002366A2"/>
    <w:rsid w:val="00240150"/>
    <w:rsid w:val="002436AD"/>
    <w:rsid w:val="00244153"/>
    <w:rsid w:val="002452F7"/>
    <w:rsid w:val="00261653"/>
    <w:rsid w:val="00264445"/>
    <w:rsid w:val="0026644F"/>
    <w:rsid w:val="0026698D"/>
    <w:rsid w:val="00273779"/>
    <w:rsid w:val="002740E8"/>
    <w:rsid w:val="00274359"/>
    <w:rsid w:val="00287617"/>
    <w:rsid w:val="00291577"/>
    <w:rsid w:val="002A2D84"/>
    <w:rsid w:val="002A3393"/>
    <w:rsid w:val="002A37B4"/>
    <w:rsid w:val="002B08A6"/>
    <w:rsid w:val="002B11DF"/>
    <w:rsid w:val="002B19B2"/>
    <w:rsid w:val="002B5A50"/>
    <w:rsid w:val="002C21CC"/>
    <w:rsid w:val="002C64AB"/>
    <w:rsid w:val="002D08E4"/>
    <w:rsid w:val="002D14EE"/>
    <w:rsid w:val="002D35DF"/>
    <w:rsid w:val="002D7F8C"/>
    <w:rsid w:val="002E031C"/>
    <w:rsid w:val="002E0604"/>
    <w:rsid w:val="002E0E11"/>
    <w:rsid w:val="002E5417"/>
    <w:rsid w:val="002F7A23"/>
    <w:rsid w:val="003056BB"/>
    <w:rsid w:val="00312C9D"/>
    <w:rsid w:val="00314BFC"/>
    <w:rsid w:val="003155A9"/>
    <w:rsid w:val="0032220D"/>
    <w:rsid w:val="00323011"/>
    <w:rsid w:val="00325F42"/>
    <w:rsid w:val="003352BD"/>
    <w:rsid w:val="0033671A"/>
    <w:rsid w:val="00340B5B"/>
    <w:rsid w:val="00355E03"/>
    <w:rsid w:val="00372C62"/>
    <w:rsid w:val="003811D7"/>
    <w:rsid w:val="003949C4"/>
    <w:rsid w:val="003A3ABD"/>
    <w:rsid w:val="003A7BDA"/>
    <w:rsid w:val="003A7F04"/>
    <w:rsid w:val="003B1E50"/>
    <w:rsid w:val="003B4E1A"/>
    <w:rsid w:val="003C27CE"/>
    <w:rsid w:val="003D1670"/>
    <w:rsid w:val="003D4797"/>
    <w:rsid w:val="003D5C28"/>
    <w:rsid w:val="003E5AA8"/>
    <w:rsid w:val="003F06E3"/>
    <w:rsid w:val="003F0C4B"/>
    <w:rsid w:val="003F47BC"/>
    <w:rsid w:val="003F7090"/>
    <w:rsid w:val="00405CCC"/>
    <w:rsid w:val="00407AD2"/>
    <w:rsid w:val="004108D2"/>
    <w:rsid w:val="00410F47"/>
    <w:rsid w:val="00411B5D"/>
    <w:rsid w:val="00412908"/>
    <w:rsid w:val="00415CB7"/>
    <w:rsid w:val="0043002F"/>
    <w:rsid w:val="00440FF1"/>
    <w:rsid w:val="004464A1"/>
    <w:rsid w:val="00450BAC"/>
    <w:rsid w:val="00457145"/>
    <w:rsid w:val="00457467"/>
    <w:rsid w:val="004576EF"/>
    <w:rsid w:val="00463441"/>
    <w:rsid w:val="00464856"/>
    <w:rsid w:val="004706A6"/>
    <w:rsid w:val="004776DA"/>
    <w:rsid w:val="00480234"/>
    <w:rsid w:val="00493EA6"/>
    <w:rsid w:val="004A3914"/>
    <w:rsid w:val="004A5E82"/>
    <w:rsid w:val="004A727A"/>
    <w:rsid w:val="004B4D81"/>
    <w:rsid w:val="004C774F"/>
    <w:rsid w:val="004E436A"/>
    <w:rsid w:val="004E4510"/>
    <w:rsid w:val="004F537F"/>
    <w:rsid w:val="004F6FDE"/>
    <w:rsid w:val="005041AA"/>
    <w:rsid w:val="00504312"/>
    <w:rsid w:val="0050642E"/>
    <w:rsid w:val="00513651"/>
    <w:rsid w:val="00531325"/>
    <w:rsid w:val="00532478"/>
    <w:rsid w:val="00532C2E"/>
    <w:rsid w:val="0054235B"/>
    <w:rsid w:val="0054759C"/>
    <w:rsid w:val="00555785"/>
    <w:rsid w:val="00555C33"/>
    <w:rsid w:val="00570089"/>
    <w:rsid w:val="00571903"/>
    <w:rsid w:val="00573BFF"/>
    <w:rsid w:val="00573E0E"/>
    <w:rsid w:val="0057528A"/>
    <w:rsid w:val="00580193"/>
    <w:rsid w:val="00583A62"/>
    <w:rsid w:val="005A695E"/>
    <w:rsid w:val="005A780E"/>
    <w:rsid w:val="005A7D37"/>
    <w:rsid w:val="005B1990"/>
    <w:rsid w:val="005B46A7"/>
    <w:rsid w:val="005B49FF"/>
    <w:rsid w:val="005D331A"/>
    <w:rsid w:val="005E4D49"/>
    <w:rsid w:val="00604177"/>
    <w:rsid w:val="006132F2"/>
    <w:rsid w:val="00614B59"/>
    <w:rsid w:val="00617A21"/>
    <w:rsid w:val="0062396C"/>
    <w:rsid w:val="006318A9"/>
    <w:rsid w:val="006332E2"/>
    <w:rsid w:val="00634246"/>
    <w:rsid w:val="00635C8E"/>
    <w:rsid w:val="006400C4"/>
    <w:rsid w:val="006525AA"/>
    <w:rsid w:val="00667101"/>
    <w:rsid w:val="006703EA"/>
    <w:rsid w:val="0069460F"/>
    <w:rsid w:val="006B2B2F"/>
    <w:rsid w:val="006B3352"/>
    <w:rsid w:val="006C46BC"/>
    <w:rsid w:val="006C58CD"/>
    <w:rsid w:val="006D251B"/>
    <w:rsid w:val="006D2C9B"/>
    <w:rsid w:val="006D410D"/>
    <w:rsid w:val="006F0150"/>
    <w:rsid w:val="00702F6B"/>
    <w:rsid w:val="00705961"/>
    <w:rsid w:val="007071D9"/>
    <w:rsid w:val="0071511E"/>
    <w:rsid w:val="00715897"/>
    <w:rsid w:val="00716B31"/>
    <w:rsid w:val="00723A77"/>
    <w:rsid w:val="007258DB"/>
    <w:rsid w:val="00731733"/>
    <w:rsid w:val="00741F56"/>
    <w:rsid w:val="007437CE"/>
    <w:rsid w:val="007528D9"/>
    <w:rsid w:val="007540BE"/>
    <w:rsid w:val="00762425"/>
    <w:rsid w:val="00767BDD"/>
    <w:rsid w:val="00770F7B"/>
    <w:rsid w:val="00781D1C"/>
    <w:rsid w:val="00783ABF"/>
    <w:rsid w:val="00796D5E"/>
    <w:rsid w:val="00797AC1"/>
    <w:rsid w:val="00797C19"/>
    <w:rsid w:val="007A0B38"/>
    <w:rsid w:val="007B0842"/>
    <w:rsid w:val="007B3030"/>
    <w:rsid w:val="007B7511"/>
    <w:rsid w:val="007C13DF"/>
    <w:rsid w:val="007C5499"/>
    <w:rsid w:val="007C5A45"/>
    <w:rsid w:val="007C5BC6"/>
    <w:rsid w:val="007D1E1E"/>
    <w:rsid w:val="007D1FC8"/>
    <w:rsid w:val="007D45D3"/>
    <w:rsid w:val="007E1DF2"/>
    <w:rsid w:val="007E690A"/>
    <w:rsid w:val="007E796B"/>
    <w:rsid w:val="007F410A"/>
    <w:rsid w:val="00801155"/>
    <w:rsid w:val="008033C1"/>
    <w:rsid w:val="008049B1"/>
    <w:rsid w:val="008064E3"/>
    <w:rsid w:val="00820477"/>
    <w:rsid w:val="008244C9"/>
    <w:rsid w:val="00827ACC"/>
    <w:rsid w:val="008518FF"/>
    <w:rsid w:val="00851D71"/>
    <w:rsid w:val="008544DE"/>
    <w:rsid w:val="00855748"/>
    <w:rsid w:val="00860DA6"/>
    <w:rsid w:val="00865830"/>
    <w:rsid w:val="00865CC1"/>
    <w:rsid w:val="00866175"/>
    <w:rsid w:val="00872A9D"/>
    <w:rsid w:val="00874302"/>
    <w:rsid w:val="008847A7"/>
    <w:rsid w:val="00885AA3"/>
    <w:rsid w:val="0089075F"/>
    <w:rsid w:val="00894E92"/>
    <w:rsid w:val="00895D8C"/>
    <w:rsid w:val="008965AC"/>
    <w:rsid w:val="0089665B"/>
    <w:rsid w:val="008B0326"/>
    <w:rsid w:val="008B4451"/>
    <w:rsid w:val="008C1E38"/>
    <w:rsid w:val="008D4E65"/>
    <w:rsid w:val="008D51F6"/>
    <w:rsid w:val="008E11B1"/>
    <w:rsid w:val="008E5536"/>
    <w:rsid w:val="00913A55"/>
    <w:rsid w:val="009153C0"/>
    <w:rsid w:val="00931185"/>
    <w:rsid w:val="00951E26"/>
    <w:rsid w:val="00970E40"/>
    <w:rsid w:val="009807F6"/>
    <w:rsid w:val="00982415"/>
    <w:rsid w:val="00990528"/>
    <w:rsid w:val="00990C9B"/>
    <w:rsid w:val="0099103C"/>
    <w:rsid w:val="00992089"/>
    <w:rsid w:val="00993B04"/>
    <w:rsid w:val="009A6970"/>
    <w:rsid w:val="009B3CEE"/>
    <w:rsid w:val="009B75F2"/>
    <w:rsid w:val="009B79CE"/>
    <w:rsid w:val="009C6529"/>
    <w:rsid w:val="009D1F50"/>
    <w:rsid w:val="009D7784"/>
    <w:rsid w:val="009E3AD6"/>
    <w:rsid w:val="009E6C32"/>
    <w:rsid w:val="009F0E9D"/>
    <w:rsid w:val="009F7374"/>
    <w:rsid w:val="00A026A0"/>
    <w:rsid w:val="00A13747"/>
    <w:rsid w:val="00A311D3"/>
    <w:rsid w:val="00A3666E"/>
    <w:rsid w:val="00A43C1B"/>
    <w:rsid w:val="00A5259F"/>
    <w:rsid w:val="00A527F2"/>
    <w:rsid w:val="00A528E3"/>
    <w:rsid w:val="00A55BDE"/>
    <w:rsid w:val="00A56899"/>
    <w:rsid w:val="00A61277"/>
    <w:rsid w:val="00A652F4"/>
    <w:rsid w:val="00A66899"/>
    <w:rsid w:val="00A84E19"/>
    <w:rsid w:val="00A84F21"/>
    <w:rsid w:val="00A913A3"/>
    <w:rsid w:val="00AA33EC"/>
    <w:rsid w:val="00AB0C0D"/>
    <w:rsid w:val="00AB6B8C"/>
    <w:rsid w:val="00AB78BD"/>
    <w:rsid w:val="00AC1117"/>
    <w:rsid w:val="00AC241B"/>
    <w:rsid w:val="00AD0E70"/>
    <w:rsid w:val="00AD128B"/>
    <w:rsid w:val="00AD4CF5"/>
    <w:rsid w:val="00AD6781"/>
    <w:rsid w:val="00AF2C6E"/>
    <w:rsid w:val="00AF71F4"/>
    <w:rsid w:val="00B052BC"/>
    <w:rsid w:val="00B170CB"/>
    <w:rsid w:val="00B247B2"/>
    <w:rsid w:val="00B26424"/>
    <w:rsid w:val="00B330FB"/>
    <w:rsid w:val="00B343A8"/>
    <w:rsid w:val="00B34413"/>
    <w:rsid w:val="00B36062"/>
    <w:rsid w:val="00B37F1F"/>
    <w:rsid w:val="00B5572C"/>
    <w:rsid w:val="00B56BC3"/>
    <w:rsid w:val="00B61E35"/>
    <w:rsid w:val="00B63E85"/>
    <w:rsid w:val="00B667F5"/>
    <w:rsid w:val="00B72736"/>
    <w:rsid w:val="00B81C7B"/>
    <w:rsid w:val="00B8445D"/>
    <w:rsid w:val="00B931F1"/>
    <w:rsid w:val="00BB49D0"/>
    <w:rsid w:val="00BC37B9"/>
    <w:rsid w:val="00BC54B0"/>
    <w:rsid w:val="00BE11BC"/>
    <w:rsid w:val="00BE61E3"/>
    <w:rsid w:val="00BF014F"/>
    <w:rsid w:val="00BF0D04"/>
    <w:rsid w:val="00C056A6"/>
    <w:rsid w:val="00C175AD"/>
    <w:rsid w:val="00C27C0A"/>
    <w:rsid w:val="00C41E39"/>
    <w:rsid w:val="00C51EC7"/>
    <w:rsid w:val="00C540A2"/>
    <w:rsid w:val="00C54DFF"/>
    <w:rsid w:val="00C56951"/>
    <w:rsid w:val="00C637E4"/>
    <w:rsid w:val="00C66116"/>
    <w:rsid w:val="00C714B2"/>
    <w:rsid w:val="00C77594"/>
    <w:rsid w:val="00C77D91"/>
    <w:rsid w:val="00C84213"/>
    <w:rsid w:val="00C84ED9"/>
    <w:rsid w:val="00C91C6F"/>
    <w:rsid w:val="00C9445A"/>
    <w:rsid w:val="00C965B2"/>
    <w:rsid w:val="00CA3D25"/>
    <w:rsid w:val="00CA47A4"/>
    <w:rsid w:val="00CA4994"/>
    <w:rsid w:val="00CA6A10"/>
    <w:rsid w:val="00CB5703"/>
    <w:rsid w:val="00CC3BCC"/>
    <w:rsid w:val="00CD3A6C"/>
    <w:rsid w:val="00CF56E2"/>
    <w:rsid w:val="00D015C6"/>
    <w:rsid w:val="00D04E5C"/>
    <w:rsid w:val="00D05F26"/>
    <w:rsid w:val="00D0655B"/>
    <w:rsid w:val="00D066B7"/>
    <w:rsid w:val="00D13CC5"/>
    <w:rsid w:val="00D276A9"/>
    <w:rsid w:val="00D355D5"/>
    <w:rsid w:val="00D36B6B"/>
    <w:rsid w:val="00D406C9"/>
    <w:rsid w:val="00D40FA8"/>
    <w:rsid w:val="00D56B91"/>
    <w:rsid w:val="00D57DC8"/>
    <w:rsid w:val="00D669D6"/>
    <w:rsid w:val="00D74DB0"/>
    <w:rsid w:val="00D75DE2"/>
    <w:rsid w:val="00D75F2B"/>
    <w:rsid w:val="00D77E09"/>
    <w:rsid w:val="00D80CC0"/>
    <w:rsid w:val="00D8432A"/>
    <w:rsid w:val="00D86FE5"/>
    <w:rsid w:val="00D9446E"/>
    <w:rsid w:val="00D97BBC"/>
    <w:rsid w:val="00DA0784"/>
    <w:rsid w:val="00DA37C4"/>
    <w:rsid w:val="00DA4FEE"/>
    <w:rsid w:val="00DB04E5"/>
    <w:rsid w:val="00DB33B4"/>
    <w:rsid w:val="00DB456E"/>
    <w:rsid w:val="00DC46AA"/>
    <w:rsid w:val="00DD0231"/>
    <w:rsid w:val="00DD3655"/>
    <w:rsid w:val="00DD6D13"/>
    <w:rsid w:val="00DD6F3E"/>
    <w:rsid w:val="00DD71F0"/>
    <w:rsid w:val="00DE05AB"/>
    <w:rsid w:val="00DE12A6"/>
    <w:rsid w:val="00DE2D51"/>
    <w:rsid w:val="00DF38A3"/>
    <w:rsid w:val="00E01AE3"/>
    <w:rsid w:val="00E0311C"/>
    <w:rsid w:val="00E05C0C"/>
    <w:rsid w:val="00E0776E"/>
    <w:rsid w:val="00E150BF"/>
    <w:rsid w:val="00E153B4"/>
    <w:rsid w:val="00E16FB9"/>
    <w:rsid w:val="00E22194"/>
    <w:rsid w:val="00E22989"/>
    <w:rsid w:val="00E25597"/>
    <w:rsid w:val="00E257D0"/>
    <w:rsid w:val="00E302EE"/>
    <w:rsid w:val="00E30F76"/>
    <w:rsid w:val="00E371A5"/>
    <w:rsid w:val="00E635F7"/>
    <w:rsid w:val="00E6679D"/>
    <w:rsid w:val="00E76254"/>
    <w:rsid w:val="00E80270"/>
    <w:rsid w:val="00E91EDA"/>
    <w:rsid w:val="00EB10C9"/>
    <w:rsid w:val="00EB2EDE"/>
    <w:rsid w:val="00EB30F1"/>
    <w:rsid w:val="00EB358E"/>
    <w:rsid w:val="00EB3600"/>
    <w:rsid w:val="00EB6E1B"/>
    <w:rsid w:val="00EC5D66"/>
    <w:rsid w:val="00EC5E59"/>
    <w:rsid w:val="00ED0921"/>
    <w:rsid w:val="00EE19A5"/>
    <w:rsid w:val="00EF18E8"/>
    <w:rsid w:val="00EF2AD6"/>
    <w:rsid w:val="00EF4968"/>
    <w:rsid w:val="00F02571"/>
    <w:rsid w:val="00F02B47"/>
    <w:rsid w:val="00F101D4"/>
    <w:rsid w:val="00F122E5"/>
    <w:rsid w:val="00F13E56"/>
    <w:rsid w:val="00F16C5D"/>
    <w:rsid w:val="00F304DA"/>
    <w:rsid w:val="00F3137A"/>
    <w:rsid w:val="00F33476"/>
    <w:rsid w:val="00F353E2"/>
    <w:rsid w:val="00F40D18"/>
    <w:rsid w:val="00F50F1D"/>
    <w:rsid w:val="00F513B7"/>
    <w:rsid w:val="00F61695"/>
    <w:rsid w:val="00F66654"/>
    <w:rsid w:val="00F70BDA"/>
    <w:rsid w:val="00F873D0"/>
    <w:rsid w:val="00F94EF8"/>
    <w:rsid w:val="00FA4146"/>
    <w:rsid w:val="00FA4808"/>
    <w:rsid w:val="00FB2D45"/>
    <w:rsid w:val="00FB414D"/>
    <w:rsid w:val="00FB575D"/>
    <w:rsid w:val="00FC1671"/>
    <w:rsid w:val="00FC5DF5"/>
    <w:rsid w:val="00FD291D"/>
    <w:rsid w:val="00FE395C"/>
    <w:rsid w:val="00FE52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2DD7"/>
  <w15:chartTrackingRefBased/>
  <w15:docId w15:val="{13DBA55E-77A3-4F3C-9C23-EBCE4D24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3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3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33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3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3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33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0FB"/>
    <w:rPr>
      <w:rFonts w:eastAsiaTheme="majorEastAsia" w:cstheme="majorBidi"/>
      <w:color w:val="272727" w:themeColor="text1" w:themeTint="D8"/>
    </w:rPr>
  </w:style>
  <w:style w:type="paragraph" w:styleId="Title">
    <w:name w:val="Title"/>
    <w:basedOn w:val="Normal"/>
    <w:next w:val="Normal"/>
    <w:link w:val="TitleChar"/>
    <w:uiPriority w:val="10"/>
    <w:qFormat/>
    <w:rsid w:val="00B33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0FB"/>
    <w:pPr>
      <w:spacing w:before="160"/>
      <w:jc w:val="center"/>
    </w:pPr>
    <w:rPr>
      <w:i/>
      <w:iCs/>
      <w:color w:val="404040" w:themeColor="text1" w:themeTint="BF"/>
    </w:rPr>
  </w:style>
  <w:style w:type="character" w:customStyle="1" w:styleId="QuoteChar">
    <w:name w:val="Quote Char"/>
    <w:basedOn w:val="DefaultParagraphFont"/>
    <w:link w:val="Quote"/>
    <w:uiPriority w:val="29"/>
    <w:rsid w:val="00B330FB"/>
    <w:rPr>
      <w:i/>
      <w:iCs/>
      <w:color w:val="404040" w:themeColor="text1" w:themeTint="BF"/>
    </w:rPr>
  </w:style>
  <w:style w:type="paragraph" w:styleId="ListParagraph">
    <w:name w:val="List Paragraph"/>
    <w:basedOn w:val="Normal"/>
    <w:uiPriority w:val="34"/>
    <w:qFormat/>
    <w:rsid w:val="00B330FB"/>
    <w:pPr>
      <w:ind w:left="720"/>
      <w:contextualSpacing/>
    </w:pPr>
  </w:style>
  <w:style w:type="character" w:styleId="IntenseEmphasis">
    <w:name w:val="Intense Emphasis"/>
    <w:basedOn w:val="DefaultParagraphFont"/>
    <w:uiPriority w:val="21"/>
    <w:qFormat/>
    <w:rsid w:val="00B330FB"/>
    <w:rPr>
      <w:i/>
      <w:iCs/>
      <w:color w:val="0F4761" w:themeColor="accent1" w:themeShade="BF"/>
    </w:rPr>
  </w:style>
  <w:style w:type="paragraph" w:styleId="IntenseQuote">
    <w:name w:val="Intense Quote"/>
    <w:basedOn w:val="Normal"/>
    <w:next w:val="Normal"/>
    <w:link w:val="IntenseQuoteChar"/>
    <w:uiPriority w:val="30"/>
    <w:qFormat/>
    <w:rsid w:val="00B33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0FB"/>
    <w:rPr>
      <w:i/>
      <w:iCs/>
      <w:color w:val="0F4761" w:themeColor="accent1" w:themeShade="BF"/>
    </w:rPr>
  </w:style>
  <w:style w:type="character" w:styleId="IntenseReference">
    <w:name w:val="Intense Reference"/>
    <w:basedOn w:val="DefaultParagraphFont"/>
    <w:uiPriority w:val="32"/>
    <w:qFormat/>
    <w:rsid w:val="00B330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064">
      <w:bodyDiv w:val="1"/>
      <w:marLeft w:val="0"/>
      <w:marRight w:val="0"/>
      <w:marTop w:val="0"/>
      <w:marBottom w:val="0"/>
      <w:divBdr>
        <w:top w:val="none" w:sz="0" w:space="0" w:color="auto"/>
        <w:left w:val="none" w:sz="0" w:space="0" w:color="auto"/>
        <w:bottom w:val="none" w:sz="0" w:space="0" w:color="auto"/>
        <w:right w:val="none" w:sz="0" w:space="0" w:color="auto"/>
      </w:divBdr>
    </w:div>
    <w:div w:id="784545747">
      <w:bodyDiv w:val="1"/>
      <w:marLeft w:val="0"/>
      <w:marRight w:val="0"/>
      <w:marTop w:val="0"/>
      <w:marBottom w:val="0"/>
      <w:divBdr>
        <w:top w:val="none" w:sz="0" w:space="0" w:color="auto"/>
        <w:left w:val="none" w:sz="0" w:space="0" w:color="auto"/>
        <w:bottom w:val="none" w:sz="0" w:space="0" w:color="auto"/>
        <w:right w:val="none" w:sz="0" w:space="0" w:color="auto"/>
      </w:divBdr>
    </w:div>
    <w:div w:id="1510871971">
      <w:bodyDiv w:val="1"/>
      <w:marLeft w:val="0"/>
      <w:marRight w:val="0"/>
      <w:marTop w:val="0"/>
      <w:marBottom w:val="0"/>
      <w:divBdr>
        <w:top w:val="none" w:sz="0" w:space="0" w:color="auto"/>
        <w:left w:val="none" w:sz="0" w:space="0" w:color="auto"/>
        <w:bottom w:val="none" w:sz="0" w:space="0" w:color="auto"/>
        <w:right w:val="none" w:sz="0" w:space="0" w:color="auto"/>
      </w:divBdr>
    </w:div>
    <w:div w:id="15460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1603f68-05db-40cb-95a9-d157de95ed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E8B7FBBDB76B4C9A029EB90D626B9C" ma:contentTypeVersion="15" ma:contentTypeDescription="Crée un document." ma:contentTypeScope="" ma:versionID="8770a0db0e9cd994854de4fd10fde0dc">
  <xsd:schema xmlns:xsd="http://www.w3.org/2001/XMLSchema" xmlns:xs="http://www.w3.org/2001/XMLSchema" xmlns:p="http://schemas.microsoft.com/office/2006/metadata/properties" xmlns:ns3="71494c21-f403-4a53-b8d2-4ef242df4a97" xmlns:ns4="a1603f68-05db-40cb-95a9-d157de95ed99" targetNamespace="http://schemas.microsoft.com/office/2006/metadata/properties" ma:root="true" ma:fieldsID="414f54e4bf83a899bf0280e56f806b0c" ns3:_="" ns4:_="">
    <xsd:import namespace="71494c21-f403-4a53-b8d2-4ef242df4a97"/>
    <xsd:import namespace="a1603f68-05db-40cb-95a9-d157de95ed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LengthInSeconds"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94c21-f403-4a53-b8d2-4ef242df4a97"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03f68-05db-40cb-95a9-d157de95ed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B9091-30FA-487A-80B6-4636D450E5E9}">
  <ds:schemaRefs>
    <ds:schemaRef ds:uri="http://schemas.microsoft.com/sharepoint/v3/contenttype/forms"/>
  </ds:schemaRefs>
</ds:datastoreItem>
</file>

<file path=customXml/itemProps2.xml><?xml version="1.0" encoding="utf-8"?>
<ds:datastoreItem xmlns:ds="http://schemas.openxmlformats.org/officeDocument/2006/customXml" ds:itemID="{7AAB1FDA-0C7D-4357-89A8-EA9C7A70D7F6}">
  <ds:schemaRefs>
    <ds:schemaRef ds:uri="http://schemas.openxmlformats.org/officeDocument/2006/bibliography"/>
  </ds:schemaRefs>
</ds:datastoreItem>
</file>

<file path=customXml/itemProps3.xml><?xml version="1.0" encoding="utf-8"?>
<ds:datastoreItem xmlns:ds="http://schemas.openxmlformats.org/officeDocument/2006/customXml" ds:itemID="{4DBB2C0F-2CA8-43FF-B20E-9CD946405E83}">
  <ds:schemaRefs>
    <ds:schemaRef ds:uri="http://schemas.microsoft.com/office/2006/metadata/properties"/>
    <ds:schemaRef ds:uri="http://schemas.microsoft.com/office/infopath/2007/PartnerControls"/>
    <ds:schemaRef ds:uri="a1603f68-05db-40cb-95a9-d157de95ed99"/>
  </ds:schemaRefs>
</ds:datastoreItem>
</file>

<file path=customXml/itemProps4.xml><?xml version="1.0" encoding="utf-8"?>
<ds:datastoreItem xmlns:ds="http://schemas.openxmlformats.org/officeDocument/2006/customXml" ds:itemID="{2874F96A-B5D4-4F17-A918-51AC40279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94c21-f403-4a53-b8d2-4ef242df4a97"/>
    <ds:schemaRef ds:uri="a1603f68-05db-40cb-95a9-d157de95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2386</Characters>
  <Application>Microsoft Office Word</Application>
  <DocSecurity>0</DocSecurity>
  <Lines>37</Lines>
  <Paragraphs>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Pierrick DOUX</dc:creator>
  <cp:keywords/>
  <dc:description/>
  <cp:lastModifiedBy>Steve Davies</cp:lastModifiedBy>
  <cp:revision>2</cp:revision>
  <cp:lastPrinted>2025-12-12T16:15:00Z</cp:lastPrinted>
  <dcterms:created xsi:type="dcterms:W3CDTF">2025-12-22T10:20:00Z</dcterms:created>
  <dcterms:modified xsi:type="dcterms:W3CDTF">2025-12-22T10:20:00Z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0x01010044E8B7FBBDB76B4C9A029EB90D626B9C</vt:lpwstr>
  </property>
</Properties>
</file>