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B1A" w:rsidR="006A3630" w:rsidP="006A3630" w:rsidRDefault="006A3630" w14:paraId="2625D578" w14:textId="1C4A7ACF">
      <w:pPr>
        <w:spacing w:after="0"/>
        <w:rPr>
          <w:rFonts w:cstheme="minorHAnsi"/>
          <w:b/>
          <w:bCs/>
          <w:sz w:val="42"/>
          <w:szCs w:val="42"/>
        </w:rPr>
      </w:pPr>
      <w:r w:rsidRPr="00981B1A">
        <w:rPr>
          <w:rFonts w:cstheme="minorHAnsi"/>
          <w:b/>
          <w:bCs/>
          <w:sz w:val="42"/>
          <w:szCs w:val="42"/>
        </w:rPr>
        <w:t xml:space="preserve">Amcor </w:t>
      </w:r>
      <w:r w:rsidR="00260C7A">
        <w:rPr>
          <w:rFonts w:cstheme="minorHAnsi"/>
          <w:b/>
          <w:bCs/>
          <w:sz w:val="42"/>
          <w:szCs w:val="42"/>
        </w:rPr>
        <w:t>h</w:t>
      </w:r>
      <w:r w:rsidRPr="00981B1A">
        <w:rPr>
          <w:rFonts w:cstheme="minorHAnsi"/>
          <w:b/>
          <w:bCs/>
          <w:sz w:val="42"/>
          <w:szCs w:val="42"/>
        </w:rPr>
        <w:t xml:space="preserve">osts </w:t>
      </w:r>
      <w:r w:rsidR="00260C7A">
        <w:rPr>
          <w:rFonts w:cstheme="minorHAnsi"/>
          <w:b/>
          <w:bCs/>
          <w:sz w:val="42"/>
          <w:szCs w:val="42"/>
        </w:rPr>
        <w:t>i</w:t>
      </w:r>
      <w:r w:rsidRPr="00981B1A">
        <w:rPr>
          <w:rFonts w:cstheme="minorHAnsi"/>
          <w:b/>
          <w:bCs/>
          <w:sz w:val="42"/>
          <w:szCs w:val="42"/>
        </w:rPr>
        <w:t xml:space="preserve">ndustry </w:t>
      </w:r>
      <w:r w:rsidR="00260C7A">
        <w:rPr>
          <w:rFonts w:cstheme="minorHAnsi"/>
          <w:b/>
          <w:bCs/>
          <w:sz w:val="42"/>
          <w:szCs w:val="42"/>
        </w:rPr>
        <w:t>d</w:t>
      </w:r>
      <w:r w:rsidRPr="00981B1A">
        <w:rPr>
          <w:rFonts w:cstheme="minorHAnsi"/>
          <w:b/>
          <w:bCs/>
          <w:sz w:val="42"/>
          <w:szCs w:val="42"/>
        </w:rPr>
        <w:t xml:space="preserve">iscussion on the </w:t>
      </w:r>
      <w:r w:rsidR="00260C7A">
        <w:rPr>
          <w:rFonts w:cstheme="minorHAnsi"/>
          <w:b/>
          <w:bCs/>
          <w:sz w:val="42"/>
          <w:szCs w:val="42"/>
        </w:rPr>
        <w:t>f</w:t>
      </w:r>
      <w:r w:rsidRPr="00981B1A">
        <w:rPr>
          <w:rFonts w:cstheme="minorHAnsi"/>
          <w:b/>
          <w:bCs/>
          <w:sz w:val="42"/>
          <w:szCs w:val="42"/>
        </w:rPr>
        <w:t xml:space="preserve">uture of </w:t>
      </w:r>
      <w:r w:rsidR="00260C7A">
        <w:rPr>
          <w:rFonts w:cstheme="minorHAnsi"/>
          <w:b/>
          <w:bCs/>
          <w:sz w:val="42"/>
          <w:szCs w:val="42"/>
        </w:rPr>
        <w:t>l</w:t>
      </w:r>
      <w:r w:rsidRPr="00981B1A">
        <w:rPr>
          <w:rFonts w:cstheme="minorHAnsi"/>
          <w:b/>
          <w:bCs/>
          <w:sz w:val="42"/>
          <w:szCs w:val="42"/>
        </w:rPr>
        <w:t xml:space="preserve">ogistics </w:t>
      </w:r>
      <w:r w:rsidR="00260C7A">
        <w:rPr>
          <w:rFonts w:cstheme="minorHAnsi"/>
          <w:b/>
          <w:bCs/>
          <w:sz w:val="42"/>
          <w:szCs w:val="42"/>
        </w:rPr>
        <w:t>p</w:t>
      </w:r>
      <w:r w:rsidRPr="00981B1A">
        <w:rPr>
          <w:rFonts w:cstheme="minorHAnsi"/>
          <w:b/>
          <w:bCs/>
          <w:sz w:val="42"/>
          <w:szCs w:val="42"/>
        </w:rPr>
        <w:t xml:space="preserve">ackaging </w:t>
      </w:r>
      <w:r w:rsidR="00260C7A">
        <w:rPr>
          <w:rFonts w:cstheme="minorHAnsi"/>
          <w:b/>
          <w:bCs/>
          <w:sz w:val="42"/>
          <w:szCs w:val="42"/>
        </w:rPr>
        <w:t>a</w:t>
      </w:r>
      <w:r w:rsidRPr="00981B1A">
        <w:rPr>
          <w:rFonts w:cstheme="minorHAnsi"/>
          <w:b/>
          <w:bCs/>
          <w:sz w:val="42"/>
          <w:szCs w:val="42"/>
        </w:rPr>
        <w:t xml:space="preserve">head of PPWR </w:t>
      </w:r>
    </w:p>
    <w:p w:rsidRPr="00981B1A" w:rsidR="003D434B" w:rsidP="003D434B" w:rsidRDefault="003D434B" w14:paraId="404BD01C" w14:textId="70561589">
      <w:pPr>
        <w:spacing w:after="0"/>
        <w:rPr>
          <w:rFonts w:cstheme="minorHAnsi"/>
        </w:rPr>
      </w:pPr>
      <w:r w:rsidRPr="00981B1A">
        <w:rPr>
          <w:rFonts w:cstheme="minorHAnsi"/>
          <w:sz w:val="32"/>
          <w:szCs w:val="32"/>
        </w:rPr>
        <w:t>Customers and partners explore regulatory impacts, innovation pathways and responsible packaging solutions.</w:t>
      </w:r>
    </w:p>
    <w:p w:rsidR="00136C86" w:rsidP="00FC5F8F" w:rsidRDefault="00136C86" w14:paraId="4729AC77" w14:textId="77777777">
      <w:pPr>
        <w:spacing w:before="0" w:after="0"/>
        <w:rPr>
          <w:rFonts w:cstheme="minorHAnsi"/>
          <w:lang w:val="en-US"/>
        </w:rPr>
      </w:pPr>
    </w:p>
    <w:p w:rsidRPr="003A7800" w:rsidR="00FC5F8F" w:rsidP="00FC5F8F" w:rsidRDefault="00FC5F8F" w14:paraId="1D180F5B" w14:textId="77777777">
      <w:pPr>
        <w:spacing w:before="0" w:after="0"/>
        <w:rPr>
          <w:rFonts w:cstheme="minorHAnsi"/>
          <w:lang w:val="en-US"/>
        </w:rPr>
      </w:pPr>
    </w:p>
    <w:p w:rsidRPr="00981B1A" w:rsidR="003D434B" w:rsidP="003D434B" w:rsidRDefault="003D434B" w14:paraId="08288778" w14:textId="5EBE2F04">
      <w:pPr>
        <w:rPr>
          <w:rFonts w:cstheme="minorHAnsi"/>
        </w:rPr>
      </w:pPr>
      <w:r w:rsidRPr="00981B1A">
        <w:rPr>
          <w:rFonts w:cstheme="minorHAnsi"/>
          <w:b/>
          <w:bCs/>
        </w:rPr>
        <w:t xml:space="preserve">ZURICH, </w:t>
      </w:r>
      <w:r w:rsidR="007E10FE">
        <w:rPr>
          <w:rFonts w:cstheme="minorHAnsi"/>
          <w:b/>
          <w:bCs/>
        </w:rPr>
        <w:t>November 20</w:t>
      </w:r>
      <w:r w:rsidRPr="00981B1A">
        <w:rPr>
          <w:rFonts w:cstheme="minorHAnsi"/>
          <w:b/>
          <w:bCs/>
        </w:rPr>
        <w:t>, 2025</w:t>
      </w:r>
      <w:r w:rsidRPr="00981B1A">
        <w:rPr>
          <w:rFonts w:cstheme="minorHAnsi"/>
        </w:rPr>
        <w:t xml:space="preserve"> — Amcor (NYSE: AMCR; ASX: AMC), a global leader in developing and producing responsible packaging solutions, hosted a customer event at its facility </w:t>
      </w:r>
      <w:r>
        <w:rPr>
          <w:rFonts w:cstheme="minorHAnsi"/>
        </w:rPr>
        <w:t xml:space="preserve">in </w:t>
      </w:r>
      <w:r w:rsidRPr="00981B1A">
        <w:rPr>
          <w:rFonts w:cstheme="minorHAnsi"/>
        </w:rPr>
        <w:t>Steinfeld, Germany,</w:t>
      </w:r>
      <w:r>
        <w:rPr>
          <w:rFonts w:cstheme="minorHAnsi"/>
        </w:rPr>
        <w:t xml:space="preserve"> </w:t>
      </w:r>
      <w:r w:rsidRPr="00981B1A">
        <w:rPr>
          <w:rFonts w:cstheme="minorHAnsi"/>
        </w:rPr>
        <w:t>focused on the upcoming Packaging and Packaging Waste Regulation (PPWR) and its implications for logistics packaging.</w:t>
      </w:r>
    </w:p>
    <w:p w:rsidRPr="00981B1A" w:rsidR="003D434B" w:rsidP="52EBA4C5" w:rsidRDefault="003D434B" w14:paraId="15E1C0AB" w14:textId="1C015180">
      <w:pPr>
        <w:rPr>
          <w:rFonts w:cs="Arial" w:cstheme="minorAscii"/>
        </w:rPr>
      </w:pPr>
      <w:r w:rsidRPr="52EBA4C5" w:rsidR="003D434B">
        <w:rPr>
          <w:rFonts w:cs="Arial" w:cstheme="minorAscii"/>
        </w:rPr>
        <w:t xml:space="preserve">The event brought together stakeholders from across the packaging value chain to explore how evolving European regulations are shaping </w:t>
      </w:r>
      <w:r w:rsidRPr="52EBA4C5" w:rsidR="003D434B">
        <w:rPr>
          <w:rFonts w:cs="Arial" w:cstheme="minorAscii"/>
        </w:rPr>
        <w:t>logistics</w:t>
      </w:r>
      <w:r w:rsidRPr="52EBA4C5" w:rsidR="003D434B">
        <w:rPr>
          <w:rFonts w:cs="Arial" w:cstheme="minorAscii"/>
        </w:rPr>
        <w:t xml:space="preserve"> </w:t>
      </w:r>
      <w:r w:rsidRPr="52EBA4C5" w:rsidR="003D434B">
        <w:rPr>
          <w:rFonts w:cs="Arial" w:cstheme="minorAscii"/>
        </w:rPr>
        <w:t xml:space="preserve">packaging design, </w:t>
      </w:r>
      <w:r w:rsidRPr="52EBA4C5" w:rsidR="003D434B">
        <w:rPr>
          <w:rFonts w:cs="Arial" w:cstheme="minorAscii"/>
        </w:rPr>
        <w:t>recyclability</w:t>
      </w:r>
      <w:r w:rsidRPr="52EBA4C5" w:rsidR="003D434B">
        <w:rPr>
          <w:rFonts w:cs="Arial" w:cstheme="minorAscii"/>
        </w:rPr>
        <w:t xml:space="preserve"> and material </w:t>
      </w:r>
      <w:r w:rsidRPr="52EBA4C5" w:rsidR="003D434B">
        <w:rPr>
          <w:rFonts w:cs="Arial" w:cstheme="minorAscii"/>
        </w:rPr>
        <w:t>selection</w:t>
      </w:r>
      <w:r w:rsidRPr="52EBA4C5" w:rsidR="003D434B">
        <w:rPr>
          <w:rFonts w:cs="Arial" w:cstheme="minorAscii"/>
        </w:rPr>
        <w:t xml:space="preserve">. Attendees included representatives from the </w:t>
      </w:r>
      <w:r w:rsidRPr="52EBA4C5" w:rsidR="003D434B">
        <w:rPr>
          <w:rFonts w:cs="Arial" w:cstheme="minorAscii"/>
        </w:rPr>
        <w:t>Bundesvereinigung</w:t>
      </w:r>
      <w:r w:rsidRPr="52EBA4C5" w:rsidR="003D434B">
        <w:rPr>
          <w:rFonts w:cs="Arial" w:cstheme="minorAscii"/>
        </w:rPr>
        <w:t xml:space="preserve"> Logistik (BVL) – a non-profit association founded in 1978 to promote awareness of </w:t>
      </w:r>
      <w:r w:rsidRPr="52EBA4C5" w:rsidR="003D434B">
        <w:rPr>
          <w:rFonts w:cs="Arial" w:cstheme="minorAscii"/>
        </w:rPr>
        <w:t>logistics</w:t>
      </w:r>
      <w:r w:rsidRPr="52EBA4C5" w:rsidR="003D434B">
        <w:rPr>
          <w:rFonts w:cs="Arial" w:cstheme="minorAscii"/>
        </w:rPr>
        <w:t xml:space="preserve"> and supply chain management across industry, </w:t>
      </w:r>
      <w:r w:rsidRPr="52EBA4C5" w:rsidR="003D434B">
        <w:rPr>
          <w:rFonts w:cs="Arial" w:cstheme="minorAscii"/>
        </w:rPr>
        <w:t>science</w:t>
      </w:r>
      <w:r w:rsidRPr="52EBA4C5" w:rsidR="003D434B">
        <w:rPr>
          <w:rFonts w:cs="Arial" w:cstheme="minorAscii"/>
        </w:rPr>
        <w:t xml:space="preserve"> and the public </w:t>
      </w:r>
      <w:r w:rsidRPr="52EBA4C5" w:rsidR="003D434B">
        <w:rPr>
          <w:rFonts w:cs="Arial" w:cstheme="minorAscii"/>
        </w:rPr>
        <w:t>sphere</w:t>
      </w:r>
      <w:r w:rsidRPr="52EBA4C5" w:rsidR="003D434B">
        <w:rPr>
          <w:rFonts w:cs="Arial" w:cstheme="minorAscii"/>
        </w:rPr>
        <w:t xml:space="preserve"> </w:t>
      </w:r>
      <w:r w:rsidRPr="52EBA4C5" w:rsidR="003D434B">
        <w:rPr>
          <w:rFonts w:cs="Arial" w:cstheme="minorAscii"/>
        </w:rPr>
        <w:t>–</w:t>
      </w:r>
      <w:r w:rsidRPr="52EBA4C5" w:rsidR="003D434B">
        <w:rPr>
          <w:rFonts w:cs="Arial" w:cstheme="minorAscii"/>
        </w:rPr>
        <w:t xml:space="preserve"> as well as leading organizations from the </w:t>
      </w:r>
      <w:r w:rsidRPr="52EBA4C5" w:rsidR="003D434B">
        <w:rPr>
          <w:rFonts w:cs="Arial" w:cstheme="minorAscii"/>
        </w:rPr>
        <w:t>logistics</w:t>
      </w:r>
      <w:r w:rsidRPr="52EBA4C5" w:rsidR="003D434B">
        <w:rPr>
          <w:rFonts w:cs="Arial" w:cstheme="minorAscii"/>
        </w:rPr>
        <w:t xml:space="preserve"> and industrial packaging industries.</w:t>
      </w:r>
    </w:p>
    <w:p w:rsidRPr="00981B1A" w:rsidR="003D434B" w:rsidP="003D434B" w:rsidRDefault="003D434B" w14:paraId="10A90AD5" w14:textId="77777777">
      <w:pPr>
        <w:rPr>
          <w:rFonts w:cstheme="minorHAnsi"/>
        </w:rPr>
      </w:pPr>
      <w:r w:rsidRPr="00981B1A">
        <w:rPr>
          <w:rFonts w:cstheme="minorHAnsi"/>
        </w:rPr>
        <w:t>Guests also toured the Steinfeld site’s manufacturing operations to see how innovation in materials and processes is helping Amcor’s customers advance towards upcoming PPWR targets and more circular packaging solutions.</w:t>
      </w:r>
    </w:p>
    <w:p w:rsidRPr="00981B1A" w:rsidR="003D434B" w:rsidP="003D434B" w:rsidRDefault="003D434B" w14:paraId="40115563" w14:textId="0705E641">
      <w:pPr>
        <w:rPr>
          <w:rFonts w:cstheme="minorHAnsi"/>
        </w:rPr>
      </w:pPr>
      <w:r w:rsidRPr="00981B1A">
        <w:rPr>
          <w:rFonts w:cstheme="minorHAnsi"/>
        </w:rPr>
        <w:t>As part of the discussions, guests were introduced to Amcor’s stretch hood film solutions</w:t>
      </w:r>
      <w:r>
        <w:rPr>
          <w:rFonts w:cstheme="minorHAnsi"/>
        </w:rPr>
        <w:t xml:space="preserve"> for pallets</w:t>
      </w:r>
      <w:r w:rsidRPr="00981B1A">
        <w:rPr>
          <w:rFonts w:cstheme="minorHAnsi"/>
        </w:rPr>
        <w:t>, designed to withstand the rigors of the supply chain while support</w:t>
      </w:r>
      <w:r>
        <w:rPr>
          <w:rFonts w:cstheme="minorHAnsi"/>
        </w:rPr>
        <w:t>ing</w:t>
      </w:r>
      <w:r w:rsidRPr="00981B1A">
        <w:rPr>
          <w:rFonts w:cstheme="minorHAnsi"/>
        </w:rPr>
        <w:t xml:space="preserve"> sustainability goals such as reduc</w:t>
      </w:r>
      <w:r>
        <w:rPr>
          <w:rFonts w:cstheme="minorHAnsi"/>
        </w:rPr>
        <w:t>ed</w:t>
      </w:r>
      <w:r w:rsidRPr="00981B1A">
        <w:rPr>
          <w:rFonts w:cstheme="minorHAnsi"/>
        </w:rPr>
        <w:t xml:space="preserve"> reliance on virgin materials</w:t>
      </w:r>
      <w:r>
        <w:rPr>
          <w:rFonts w:cstheme="minorHAnsi"/>
        </w:rPr>
        <w:t xml:space="preserve"> through post-consumer recycled (PCR) content</w:t>
      </w:r>
      <w:r w:rsidRPr="00981B1A">
        <w:rPr>
          <w:rFonts w:cstheme="minorHAnsi"/>
        </w:rPr>
        <w:t xml:space="preserve"> and downgauging, enabling customers to lower </w:t>
      </w:r>
      <w:r>
        <w:rPr>
          <w:rFonts w:cstheme="minorHAnsi"/>
        </w:rPr>
        <w:t xml:space="preserve">their </w:t>
      </w:r>
      <w:r w:rsidRPr="00981B1A">
        <w:rPr>
          <w:rFonts w:cstheme="minorHAnsi"/>
        </w:rPr>
        <w:t>plastic use and move toward more circular packaging systems.</w:t>
      </w:r>
    </w:p>
    <w:p w:rsidRPr="00981B1A" w:rsidR="003D434B" w:rsidP="003D434B" w:rsidRDefault="003D434B" w14:paraId="74057FCB" w14:textId="40A918CD">
      <w:pPr>
        <w:rPr>
          <w:rFonts w:cstheme="minorHAnsi"/>
        </w:rPr>
      </w:pPr>
      <w:r w:rsidRPr="00981B1A">
        <w:rPr>
          <w:rFonts w:cstheme="minorHAnsi"/>
        </w:rPr>
        <w:t xml:space="preserve">“The PPWR will bring significant changes to how packaging is designed, produced, and managed across Europe,” said </w:t>
      </w:r>
      <w:r w:rsidRPr="00946E56">
        <w:rPr>
          <w:rFonts w:cstheme="minorHAnsi"/>
          <w:b/>
          <w:bCs/>
        </w:rPr>
        <w:t>Daniel Stauber</w:t>
      </w:r>
      <w:r w:rsidRPr="00981B1A">
        <w:rPr>
          <w:rFonts w:cstheme="minorHAnsi"/>
        </w:rPr>
        <w:t xml:space="preserve">, </w:t>
      </w:r>
      <w:r w:rsidR="00260C7A">
        <w:rPr>
          <w:rFonts w:cstheme="minorHAnsi"/>
        </w:rPr>
        <w:t>s</w:t>
      </w:r>
      <w:r w:rsidRPr="00981B1A">
        <w:rPr>
          <w:rFonts w:cstheme="minorHAnsi"/>
        </w:rPr>
        <w:t xml:space="preserve">ales </w:t>
      </w:r>
      <w:r w:rsidR="00260C7A">
        <w:rPr>
          <w:rFonts w:cstheme="minorHAnsi"/>
        </w:rPr>
        <w:t>d</w:t>
      </w:r>
      <w:r w:rsidRPr="00981B1A">
        <w:rPr>
          <w:rFonts w:cstheme="minorHAnsi"/>
        </w:rPr>
        <w:t xml:space="preserve">irector at Amcor. “Our discussions focused on how we can navigate these changes together – combining regulatory readiness with technical innovation and reliable performance. </w:t>
      </w:r>
      <w:r>
        <w:rPr>
          <w:rFonts w:cstheme="minorHAnsi"/>
        </w:rPr>
        <w:t xml:space="preserve">Coming together </w:t>
      </w:r>
      <w:r w:rsidRPr="00981B1A">
        <w:rPr>
          <w:rFonts w:cstheme="minorHAnsi"/>
        </w:rPr>
        <w:t>like this strengthen</w:t>
      </w:r>
      <w:r>
        <w:rPr>
          <w:rFonts w:cstheme="minorHAnsi"/>
        </w:rPr>
        <w:t>s</w:t>
      </w:r>
      <w:r w:rsidRPr="00981B1A">
        <w:rPr>
          <w:rFonts w:cstheme="minorHAnsi"/>
        </w:rPr>
        <w:t xml:space="preserve"> our shared understanding of both challenges and opportunities, and reinforce</w:t>
      </w:r>
      <w:r>
        <w:rPr>
          <w:rFonts w:cstheme="minorHAnsi"/>
        </w:rPr>
        <w:t>s</w:t>
      </w:r>
      <w:r w:rsidRPr="00981B1A">
        <w:rPr>
          <w:rFonts w:cstheme="minorHAnsi"/>
        </w:rPr>
        <w:t xml:space="preserve"> how collaboration is key to achieving practical, circular outcomes.”</w:t>
      </w:r>
    </w:p>
    <w:p w:rsidR="003D434B" w:rsidP="003D434B" w:rsidRDefault="003D434B" w14:paraId="12047DDE" w14:textId="7611A55A">
      <w:pPr>
        <w:rPr>
          <w:rFonts w:cstheme="minorHAnsi"/>
        </w:rPr>
      </w:pPr>
      <w:r w:rsidRPr="00981B1A">
        <w:rPr>
          <w:rFonts w:cstheme="minorHAnsi"/>
        </w:rPr>
        <w:t xml:space="preserve">“Events like this provide an important platform for open dialogue on how logistics and packaging can evolve to meet new regulatory and sustainability challenges,” </w:t>
      </w:r>
      <w:r w:rsidRPr="00DF79F8">
        <w:rPr>
          <w:rFonts w:cstheme="minorHAnsi"/>
        </w:rPr>
        <w:t xml:space="preserve">said </w:t>
      </w:r>
      <w:r w:rsidRPr="00946E56">
        <w:rPr>
          <w:rFonts w:cstheme="minorHAnsi"/>
          <w:b/>
          <w:bCs/>
        </w:rPr>
        <w:t>Gerald Honerkamp</w:t>
      </w:r>
      <w:r w:rsidRPr="00DF79F8">
        <w:rPr>
          <w:rFonts w:cstheme="minorHAnsi"/>
        </w:rPr>
        <w:t xml:space="preserve">, </w:t>
      </w:r>
      <w:r w:rsidR="00260C7A">
        <w:rPr>
          <w:rFonts w:cstheme="minorHAnsi"/>
        </w:rPr>
        <w:t>d</w:t>
      </w:r>
      <w:r w:rsidRPr="00DF79F8">
        <w:rPr>
          <w:rFonts w:cstheme="minorHAnsi"/>
        </w:rPr>
        <w:t xml:space="preserve">eputy </w:t>
      </w:r>
      <w:r w:rsidR="00260C7A">
        <w:rPr>
          <w:rFonts w:cstheme="minorHAnsi"/>
        </w:rPr>
        <w:t>s</w:t>
      </w:r>
      <w:r w:rsidRPr="00DF79F8">
        <w:rPr>
          <w:rFonts w:cstheme="minorHAnsi"/>
        </w:rPr>
        <w:t xml:space="preserve">pokesperson Regional Group Münster/Osnabrück of </w:t>
      </w:r>
      <w:proofErr w:type="spellStart"/>
      <w:r w:rsidRPr="00DF79F8">
        <w:rPr>
          <w:rFonts w:cstheme="minorHAnsi"/>
        </w:rPr>
        <w:t>Bundesvereinigung</w:t>
      </w:r>
      <w:proofErr w:type="spellEnd"/>
      <w:r w:rsidRPr="00DF79F8">
        <w:rPr>
          <w:rFonts w:cstheme="minorHAnsi"/>
        </w:rPr>
        <w:t xml:space="preserve"> Logistik (BVL</w:t>
      </w:r>
      <w:r>
        <w:rPr>
          <w:rFonts w:cstheme="minorHAnsi"/>
        </w:rPr>
        <w:t xml:space="preserve">). </w:t>
      </w:r>
      <w:r w:rsidRPr="00981B1A">
        <w:rPr>
          <w:rFonts w:cstheme="minorHAnsi"/>
        </w:rPr>
        <w:t>“As a network, our focus is on connecting stakeholders to share knowledge and drive practical solutions across the supply chain.”</w:t>
      </w:r>
    </w:p>
    <w:p w:rsidR="003D434B" w:rsidP="003D434B" w:rsidRDefault="003D434B" w14:paraId="515D6F82" w14:textId="77777777">
      <w:pPr>
        <w:rPr>
          <w:rFonts w:cstheme="minorHAnsi"/>
        </w:rPr>
      </w:pPr>
      <w:r w:rsidRPr="00981B1A">
        <w:rPr>
          <w:rFonts w:cstheme="minorHAnsi"/>
        </w:rPr>
        <w:t xml:space="preserve">As part of its wider logistics packaging range, Amcor also offers </w:t>
      </w:r>
      <w:proofErr w:type="spellStart"/>
      <w:r w:rsidRPr="00981B1A">
        <w:rPr>
          <w:rFonts w:cstheme="minorHAnsi"/>
        </w:rPr>
        <w:t>Bontite</w:t>
      </w:r>
      <w:proofErr w:type="spellEnd"/>
      <w:r w:rsidRPr="00981B1A">
        <w:rPr>
          <w:rFonts w:cstheme="minorHAnsi"/>
        </w:rPr>
        <w:t>™ stretch wrap – a technically advanced blown machine film with recycled content options. Its high stretch performance enables downgauging and reduced material use while maintaining pallet stability for efficient, reliable pallet stabilization.</w:t>
      </w:r>
    </w:p>
    <w:p w:rsidR="003D434B" w:rsidP="003D434B" w:rsidRDefault="003D434B" w14:paraId="088BC178" w14:textId="77777777">
      <w:pPr>
        <w:rPr>
          <w:rFonts w:cstheme="minorHAnsi"/>
        </w:rPr>
      </w:pPr>
      <w:r w:rsidRPr="00981B1A">
        <w:rPr>
          <w:rFonts w:cstheme="minorHAnsi"/>
        </w:rPr>
        <w:t>In addition, Amcor provides a broad range of heavy-duty primary and secondary packaging solutions for consumer and industrial markets – from films for growing media and chemical products to packaging for FMCG applications – all developed to balance performance and efficiency while supporting customers’ sustainability objectives.</w:t>
      </w:r>
    </w:p>
    <w:p w:rsidRPr="00981B1A" w:rsidR="003D434B" w:rsidP="003D434B" w:rsidRDefault="003D434B" w14:paraId="7489DA01" w14:textId="77777777">
      <w:pPr>
        <w:rPr>
          <w:rFonts w:cstheme="minorHAnsi"/>
        </w:rPr>
      </w:pPr>
      <w:r w:rsidRPr="00981B1A">
        <w:rPr>
          <w:rFonts w:cstheme="minorHAnsi"/>
        </w:rPr>
        <w:t xml:space="preserve">For more information on Amcor’s pallet protection and stabilization solutions, please visit </w:t>
      </w:r>
      <w:hyperlink w:history="1" r:id="rId10">
        <w:r w:rsidRPr="00546188">
          <w:rPr>
            <w:rStyle w:val="Hyperlink"/>
            <w:rFonts w:eastAsiaTheme="majorEastAsia"/>
          </w:rPr>
          <w:t>Pallet Protection Films for Safe, Stable Transport | Amcor</w:t>
        </w:r>
      </w:hyperlink>
      <w:r w:rsidRPr="00981B1A">
        <w:rPr>
          <w:rFonts w:cstheme="minorHAnsi"/>
        </w:rPr>
        <w:t>.</w:t>
      </w:r>
    </w:p>
    <w:p w:rsidR="00FC056F" w:rsidP="00FC5F8F" w:rsidRDefault="00FC056F" w14:paraId="62D0C22F" w14:textId="77777777">
      <w:pPr>
        <w:spacing w:before="0" w:after="0"/>
        <w:rPr>
          <w:rFonts w:cstheme="minorHAnsi"/>
          <w:lang w:val="en-US"/>
        </w:rPr>
      </w:pPr>
    </w:p>
    <w:p w:rsidR="00FC056F" w:rsidP="00FC5F8F" w:rsidRDefault="00FC056F" w14:paraId="5852C974" w14:textId="77777777">
      <w:pPr>
        <w:spacing w:before="0" w:after="0"/>
        <w:rPr>
          <w:rFonts w:cstheme="minorHAnsi"/>
          <w:lang w:val="en-US"/>
        </w:rPr>
      </w:pPr>
    </w:p>
    <w:p w:rsidR="00136C86" w:rsidP="00FC5F8F" w:rsidRDefault="00136C86" w14:paraId="68DBDA56" w14:textId="77777777">
      <w:pPr>
        <w:spacing w:before="0" w:after="0"/>
        <w:rPr>
          <w:rFonts w:cstheme="minorHAnsi"/>
          <w:lang w:val="en-US"/>
        </w:rPr>
      </w:pPr>
    </w:p>
    <w:p w:rsidR="00136C86" w:rsidP="00FC5F8F" w:rsidRDefault="00136C86" w14:paraId="14129BBF" w14:textId="77777777">
      <w:pPr>
        <w:spacing w:before="0" w:after="0"/>
        <w:rPr>
          <w:rFonts w:cstheme="minorHAnsi"/>
          <w:lang w:val="en-US"/>
        </w:rPr>
      </w:pPr>
    </w:p>
    <w:p w:rsidRPr="00CC7F1D" w:rsidR="00FC056F" w:rsidP="00FC056F" w:rsidRDefault="00FC056F" w14:paraId="708AD102" w14:textId="77777777">
      <w:pPr>
        <w:spacing w:before="0" w:after="0"/>
        <w:rPr>
          <w:rFonts w:cstheme="minorHAnsi"/>
          <w:b/>
          <w:bCs/>
          <w:sz w:val="22"/>
          <w:szCs w:val="22"/>
        </w:rPr>
      </w:pPr>
      <w:r w:rsidRPr="00CC7F1D">
        <w:rPr>
          <w:rFonts w:cstheme="minorHAnsi"/>
          <w:b/>
          <w:bCs/>
          <w:sz w:val="22"/>
          <w:szCs w:val="22"/>
        </w:rPr>
        <w:t>About Amcor</w:t>
      </w:r>
    </w:p>
    <w:p w:rsidRPr="00CC7F1D" w:rsidR="00406B12" w:rsidP="00FC056F" w:rsidRDefault="00FC5F8F" w14:paraId="3F0A96BD" w14:textId="77777777">
      <w:pPr>
        <w:spacing w:before="0" w:after="0"/>
        <w:rPr>
          <w:rFonts w:cstheme="minorHAnsi"/>
          <w:sz w:val="22"/>
          <w:szCs w:val="22"/>
        </w:rPr>
      </w:pPr>
      <w:r w:rsidRPr="00CC7F1D">
        <w:rPr>
          <w:rFonts w:cstheme="min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w:t>
      </w:r>
      <w:r w:rsidRPr="00CC7F1D" w:rsidR="00FC056F">
        <w:rPr>
          <w:rFonts w:cstheme="minorHAnsi"/>
          <w:sz w:val="22"/>
          <w:szCs w:val="22"/>
        </w:rPr>
        <w:t xml:space="preserve">NYSE: AMCR; ASX: AMC </w:t>
      </w:r>
    </w:p>
    <w:p w:rsidRPr="00CC7F1D" w:rsidR="00FC056F" w:rsidP="00FC056F" w:rsidRDefault="00406B12" w14:paraId="2EAF8732" w14:textId="09F4FB74">
      <w:pPr>
        <w:spacing w:before="0" w:after="0"/>
        <w:rPr>
          <w:rFonts w:cstheme="minorHAnsi"/>
          <w:sz w:val="22"/>
          <w:szCs w:val="22"/>
        </w:rPr>
      </w:pPr>
      <w:hyperlink w:history="1" r:id="rId11">
        <w:r w:rsidRPr="00CC7F1D">
          <w:rPr>
            <w:rStyle w:val="Hyperlink"/>
            <w:rFonts w:eastAsiaTheme="majorEastAsia" w:cstheme="minorHAnsi"/>
            <w:sz w:val="22"/>
            <w:szCs w:val="22"/>
          </w:rPr>
          <w:t>www.amcor.com</w:t>
        </w:r>
      </w:hyperlink>
      <w:r w:rsidRPr="00CC7F1D" w:rsidR="00FC056F">
        <w:rPr>
          <w:rFonts w:cstheme="minorHAnsi"/>
          <w:sz w:val="22"/>
          <w:szCs w:val="22"/>
        </w:rPr>
        <w:t xml:space="preserve"> | </w:t>
      </w:r>
      <w:hyperlink w:tgtFrame="_blank" w:history="1" r:id="rId12">
        <w:r w:rsidRPr="00CC7F1D" w:rsidR="00FC056F">
          <w:rPr>
            <w:rStyle w:val="Hyperlink"/>
            <w:rFonts w:eastAsiaTheme="majorEastAsia" w:cstheme="minorHAnsi"/>
            <w:sz w:val="22"/>
            <w:szCs w:val="22"/>
          </w:rPr>
          <w:t>LinkedIn</w:t>
        </w:r>
      </w:hyperlink>
      <w:r w:rsidRPr="00CC7F1D" w:rsidR="00FC056F">
        <w:rPr>
          <w:rFonts w:cstheme="minorHAnsi"/>
          <w:sz w:val="22"/>
          <w:szCs w:val="22"/>
        </w:rPr>
        <w:t xml:space="preserve"> | </w:t>
      </w:r>
      <w:hyperlink w:history="1" r:id="rId13">
        <w:r w:rsidRPr="00CC7F1D" w:rsidR="00FC056F">
          <w:rPr>
            <w:rStyle w:val="Hyperlink"/>
            <w:rFonts w:eastAsiaTheme="majorEastAsia" w:cstheme="minorHAnsi"/>
            <w:sz w:val="22"/>
            <w:szCs w:val="22"/>
          </w:rPr>
          <w:t>YouTube</w:t>
        </w:r>
      </w:hyperlink>
      <w:r w:rsidRPr="00CC7F1D" w:rsidR="00FC056F">
        <w:rPr>
          <w:rFonts w:cstheme="minorHAnsi"/>
          <w:sz w:val="22"/>
          <w:szCs w:val="22"/>
        </w:rPr>
        <w:t> </w:t>
      </w:r>
    </w:p>
    <w:p w:rsidRPr="00CC7F1D" w:rsidR="00136C86" w:rsidP="00FC056F" w:rsidRDefault="00136C86" w14:paraId="41391802" w14:textId="77777777">
      <w:pPr>
        <w:spacing w:before="0" w:after="0"/>
        <w:rPr>
          <w:rFonts w:cstheme="minorHAnsi"/>
          <w:szCs w:val="20"/>
          <w:lang w:val="en-US"/>
        </w:rPr>
      </w:pPr>
    </w:p>
    <w:p w:rsidRPr="00CC7F1D" w:rsidR="00FC056F" w:rsidP="00FC056F" w:rsidRDefault="00FC056F" w14:paraId="63F804F4" w14:textId="77777777">
      <w:pPr>
        <w:spacing w:before="0" w:after="0"/>
        <w:rPr>
          <w:rFonts w:cstheme="minorHAnsi"/>
          <w:szCs w:val="20"/>
          <w:lang w:val="en-US"/>
        </w:rPr>
      </w:pPr>
    </w:p>
    <w:p w:rsidRPr="00CC7F1D" w:rsidR="00FC056F" w:rsidP="00FC056F" w:rsidRDefault="00FC056F" w14:paraId="6791D9F0" w14:textId="050C843F">
      <w:pPr>
        <w:spacing w:before="0" w:after="0"/>
        <w:rPr>
          <w:rFonts w:cstheme="minorHAnsi"/>
          <w:b/>
          <w:bCs/>
          <w:szCs w:val="20"/>
          <w:lang w:val="en-US"/>
        </w:rPr>
      </w:pPr>
      <w:r w:rsidRPr="00CC7F1D">
        <w:rPr>
          <w:rFonts w:cstheme="minorHAnsi"/>
          <w:b/>
          <w:bCs/>
          <w:szCs w:val="20"/>
          <w:lang w:val="en-US"/>
        </w:rPr>
        <w:t>Contact</w:t>
      </w:r>
    </w:p>
    <w:p w:rsidRPr="00CC7F1D" w:rsidR="00FC056F" w:rsidP="00FC056F" w:rsidRDefault="007E10FE" w14:paraId="6B74FD13" w14:textId="00A46166">
      <w:pPr>
        <w:spacing w:before="0" w:after="0"/>
        <w:rPr>
          <w:rFonts w:cstheme="minorHAnsi"/>
          <w:szCs w:val="20"/>
          <w:lang w:val="en-US"/>
        </w:rPr>
      </w:pPr>
      <w:hyperlink w:history="1" r:id="rId14">
        <w:r w:rsidRPr="00F73886">
          <w:rPr>
            <w:rStyle w:val="Hyperlink"/>
            <w:rFonts w:cstheme="minorHAnsi"/>
            <w:szCs w:val="20"/>
            <w:lang w:val="en-US"/>
          </w:rPr>
          <w:t>amcor@nmpr.co.uk</w:t>
        </w:r>
      </w:hyperlink>
      <w:r>
        <w:rPr>
          <w:rFonts w:cstheme="minorHAnsi"/>
          <w:szCs w:val="20"/>
          <w:lang w:val="en-US"/>
        </w:rPr>
        <w:t xml:space="preserve"> </w:t>
      </w:r>
    </w:p>
    <w:sectPr w:rsidRPr="00CC7F1D" w:rsidR="00FC056F" w:rsidSect="00F30844">
      <w:headerReference w:type="even" r:id="rId15"/>
      <w:headerReference w:type="default" r:id="rId16"/>
      <w:footerReference w:type="default" r:id="rId17"/>
      <w:headerReference w:type="first" r:id="rId18"/>
      <w:footerReference w:type="first" r:id="rId19"/>
      <w:pgSz w:w="11907" w:h="16839" w:orient="portrait"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7CD" w:rsidP="000E132A" w:rsidRDefault="008317CD" w14:paraId="405178F2" w14:textId="77777777">
      <w:pPr>
        <w:spacing w:before="0" w:after="0"/>
      </w:pPr>
      <w:r>
        <w:separator/>
      </w:r>
    </w:p>
  </w:endnote>
  <w:endnote w:type="continuationSeparator" w:id="0">
    <w:p w:rsidR="008317CD" w:rsidP="000E132A" w:rsidRDefault="008317CD" w14:paraId="72CA8B3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39C2" w:rsidR="00AA4491" w:rsidP="002A45A2" w:rsidRDefault="00980407" w14:paraId="57D7C711" w14:textId="40A5B8D5">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Pr="009839C2" w:rsidR="00A94884">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Pr="009839C2" w:rsidR="00347864">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EndPr/>
    <w:sdtContent>
      <w:p w:rsidR="00AA4491" w:rsidP="00347864" w:rsidRDefault="00D444DE" w14:paraId="3D68AAA7" w14:textId="77777777">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7CD" w:rsidP="000E132A" w:rsidRDefault="008317CD" w14:paraId="303D18AC" w14:textId="77777777">
      <w:pPr>
        <w:spacing w:before="0" w:after="0"/>
      </w:pPr>
      <w:r>
        <w:separator/>
      </w:r>
    </w:p>
  </w:footnote>
  <w:footnote w:type="continuationSeparator" w:id="0">
    <w:p w:rsidR="008317CD" w:rsidP="000E132A" w:rsidRDefault="008317CD" w14:paraId="1571C6C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491" w:rsidRDefault="00AA4491" w14:paraId="650FAB02" w14:textId="77777777"/>
  <w:p w:rsidR="00AA4491" w:rsidRDefault="00AA4491" w14:paraId="25205228" w14:textId="77777777">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6060" w:rsidRDefault="00202437" w14:paraId="69EBB65A" w14:textId="77777777">
    <w:pPr>
      <w:pStyle w:val="Header"/>
    </w:pPr>
    <w:r>
      <w:rPr>
        <w:noProof/>
      </w:rPr>
      <mc:AlternateContent>
        <mc:Choice Requires="wps">
          <w:drawing>
            <wp:anchor distT="0" distB="0" distL="114300" distR="114300" simplePos="0" relativeHeight="251658242" behindDoc="0" locked="0" layoutInCell="1" allowOverlap="1" wp14:anchorId="542EF1AF" wp14:editId="27FAA1B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rsidRPr="00B202B3" w:rsidR="00202437" w:rsidP="004967B7" w:rsidRDefault="00202437" w14:paraId="240A87CC" w14:textId="7777777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2EF1AF">
              <v:stroke joinstyle="miter"/>
              <v:path gradientshapeok="t" o:connecttype="rect"/>
            </v:shapetype>
            <v:shape id="Text Box 1" style="position:absolute;margin-left:246.45pt;margin-top:0;width:297.65pt;height:110pt;z-index:25165824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v:textbox inset="0,0,13.6mm,0">
                <w:txbxContent>
                  <w:p w:rsidRPr="00B202B3" w:rsidR="00202437" w:rsidP="004967B7" w:rsidRDefault="00202437" w14:paraId="240A87CC" w14:textId="7777777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v:textbox>
              <w10:wrap anchorx="page" anchory="page"/>
            </v:shape>
          </w:pict>
        </mc:Fallback>
      </mc:AlternateContent>
    </w:r>
    <w:r w:rsidR="00655367">
      <w:rPr>
        <w:noProof/>
      </w:rPr>
      <w:drawing>
        <wp:anchor distT="0" distB="0" distL="114300" distR="114300" simplePos="0" relativeHeight="251658241" behindDoc="1" locked="0" layoutInCell="1" allowOverlap="1" wp14:anchorId="5519B1FB" wp14:editId="55CDCA3E">
          <wp:simplePos x="0" y="0"/>
          <wp:positionH relativeFrom="page">
            <wp:align>left</wp:align>
          </wp:positionH>
          <wp:positionV relativeFrom="page">
            <wp:align>top</wp:align>
          </wp:positionV>
          <wp:extent cx="7560000" cy="1396800"/>
          <wp:effectExtent l="0" t="0" r="3175" b="0"/>
          <wp:wrapNone/>
          <wp:docPr id="642564908" name="Grafik 3" descr="Ein Bild, das Screenshot, Grafiken, Wasser,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64908" name="Grafik 3" descr="Ein Bild, das Screenshot, Grafiken, Wasser,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3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4491" w:rsidRDefault="00AD5A42" w14:paraId="7A72BD5A" w14:textId="77777777">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attachedTemplate r:id="rId1"/>
  <w:trackRevisions w:val="false"/>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A0"/>
    <w:rsid w:val="00005603"/>
    <w:rsid w:val="00031DB9"/>
    <w:rsid w:val="0004461F"/>
    <w:rsid w:val="000658EE"/>
    <w:rsid w:val="000708BE"/>
    <w:rsid w:val="00081B21"/>
    <w:rsid w:val="000A522F"/>
    <w:rsid w:val="000A75C2"/>
    <w:rsid w:val="000E132A"/>
    <w:rsid w:val="000E60A0"/>
    <w:rsid w:val="000F332D"/>
    <w:rsid w:val="000F59F4"/>
    <w:rsid w:val="00124B8A"/>
    <w:rsid w:val="00136C86"/>
    <w:rsid w:val="00183283"/>
    <w:rsid w:val="001A2F54"/>
    <w:rsid w:val="001A7E4E"/>
    <w:rsid w:val="001C30D4"/>
    <w:rsid w:val="001D34FA"/>
    <w:rsid w:val="001F3FA7"/>
    <w:rsid w:val="00202437"/>
    <w:rsid w:val="00203380"/>
    <w:rsid w:val="002042A1"/>
    <w:rsid w:val="00206E46"/>
    <w:rsid w:val="00244A61"/>
    <w:rsid w:val="00260C7A"/>
    <w:rsid w:val="0026204B"/>
    <w:rsid w:val="002870BF"/>
    <w:rsid w:val="002A45A2"/>
    <w:rsid w:val="002B28E1"/>
    <w:rsid w:val="002B4C2F"/>
    <w:rsid w:val="002B64F2"/>
    <w:rsid w:val="002E2FDE"/>
    <w:rsid w:val="003034A7"/>
    <w:rsid w:val="0030746C"/>
    <w:rsid w:val="00327423"/>
    <w:rsid w:val="003276FB"/>
    <w:rsid w:val="00332589"/>
    <w:rsid w:val="00347864"/>
    <w:rsid w:val="00383331"/>
    <w:rsid w:val="003A7800"/>
    <w:rsid w:val="003B371D"/>
    <w:rsid w:val="003B67AD"/>
    <w:rsid w:val="003D434B"/>
    <w:rsid w:val="003F075A"/>
    <w:rsid w:val="003F6D05"/>
    <w:rsid w:val="00400CEC"/>
    <w:rsid w:val="004030FD"/>
    <w:rsid w:val="00403493"/>
    <w:rsid w:val="00406B12"/>
    <w:rsid w:val="004361D7"/>
    <w:rsid w:val="004400E1"/>
    <w:rsid w:val="00446060"/>
    <w:rsid w:val="004820E9"/>
    <w:rsid w:val="00490395"/>
    <w:rsid w:val="004937E6"/>
    <w:rsid w:val="004967B7"/>
    <w:rsid w:val="004B539F"/>
    <w:rsid w:val="004B66AB"/>
    <w:rsid w:val="004C2CF5"/>
    <w:rsid w:val="004C52D2"/>
    <w:rsid w:val="00512A54"/>
    <w:rsid w:val="00532DFA"/>
    <w:rsid w:val="00533BCC"/>
    <w:rsid w:val="00534DD7"/>
    <w:rsid w:val="00542BC4"/>
    <w:rsid w:val="00557707"/>
    <w:rsid w:val="005652EA"/>
    <w:rsid w:val="005715C7"/>
    <w:rsid w:val="005860A0"/>
    <w:rsid w:val="005914E8"/>
    <w:rsid w:val="00592BD9"/>
    <w:rsid w:val="00596EEB"/>
    <w:rsid w:val="005D0ED7"/>
    <w:rsid w:val="005F22ED"/>
    <w:rsid w:val="005F673A"/>
    <w:rsid w:val="00654013"/>
    <w:rsid w:val="00655367"/>
    <w:rsid w:val="00657217"/>
    <w:rsid w:val="00657C92"/>
    <w:rsid w:val="00670D68"/>
    <w:rsid w:val="0069282B"/>
    <w:rsid w:val="006A3630"/>
    <w:rsid w:val="006A5192"/>
    <w:rsid w:val="006B79D7"/>
    <w:rsid w:val="006C0AC2"/>
    <w:rsid w:val="00726AA1"/>
    <w:rsid w:val="007441A7"/>
    <w:rsid w:val="00751133"/>
    <w:rsid w:val="00755384"/>
    <w:rsid w:val="00757DEB"/>
    <w:rsid w:val="007914C8"/>
    <w:rsid w:val="007E10FE"/>
    <w:rsid w:val="007E3768"/>
    <w:rsid w:val="00803431"/>
    <w:rsid w:val="008317CD"/>
    <w:rsid w:val="00837BAE"/>
    <w:rsid w:val="008455FB"/>
    <w:rsid w:val="00846203"/>
    <w:rsid w:val="00851B21"/>
    <w:rsid w:val="008751D5"/>
    <w:rsid w:val="008810D8"/>
    <w:rsid w:val="008811F0"/>
    <w:rsid w:val="00885ABF"/>
    <w:rsid w:val="00886F6D"/>
    <w:rsid w:val="008C71ED"/>
    <w:rsid w:val="008D2641"/>
    <w:rsid w:val="00913DA2"/>
    <w:rsid w:val="00916F18"/>
    <w:rsid w:val="0093454D"/>
    <w:rsid w:val="00943CA5"/>
    <w:rsid w:val="00944C54"/>
    <w:rsid w:val="00946E56"/>
    <w:rsid w:val="00980407"/>
    <w:rsid w:val="00983364"/>
    <w:rsid w:val="009839C2"/>
    <w:rsid w:val="009E618C"/>
    <w:rsid w:val="00A16E0A"/>
    <w:rsid w:val="00A27BDD"/>
    <w:rsid w:val="00A42DD8"/>
    <w:rsid w:val="00A62C10"/>
    <w:rsid w:val="00A735BA"/>
    <w:rsid w:val="00A8001F"/>
    <w:rsid w:val="00A94884"/>
    <w:rsid w:val="00AA1C46"/>
    <w:rsid w:val="00AA4491"/>
    <w:rsid w:val="00AB795A"/>
    <w:rsid w:val="00AC1B71"/>
    <w:rsid w:val="00AD5A42"/>
    <w:rsid w:val="00B04B6C"/>
    <w:rsid w:val="00B202B3"/>
    <w:rsid w:val="00B306DD"/>
    <w:rsid w:val="00B36809"/>
    <w:rsid w:val="00B36D53"/>
    <w:rsid w:val="00B44965"/>
    <w:rsid w:val="00B52AAE"/>
    <w:rsid w:val="00B56C4E"/>
    <w:rsid w:val="00B630B6"/>
    <w:rsid w:val="00B647A3"/>
    <w:rsid w:val="00B65958"/>
    <w:rsid w:val="00B85906"/>
    <w:rsid w:val="00BB18D8"/>
    <w:rsid w:val="00BB2834"/>
    <w:rsid w:val="00BD2C4B"/>
    <w:rsid w:val="00BF202C"/>
    <w:rsid w:val="00C831B9"/>
    <w:rsid w:val="00CB144E"/>
    <w:rsid w:val="00CB246D"/>
    <w:rsid w:val="00CB2CD8"/>
    <w:rsid w:val="00CB56AC"/>
    <w:rsid w:val="00CC7F1D"/>
    <w:rsid w:val="00CF6D76"/>
    <w:rsid w:val="00D16400"/>
    <w:rsid w:val="00D25425"/>
    <w:rsid w:val="00D277C7"/>
    <w:rsid w:val="00D444DE"/>
    <w:rsid w:val="00D86DCB"/>
    <w:rsid w:val="00DA0059"/>
    <w:rsid w:val="00DA7AED"/>
    <w:rsid w:val="00DD4BCA"/>
    <w:rsid w:val="00DD6C82"/>
    <w:rsid w:val="00DF7F2B"/>
    <w:rsid w:val="00E3797E"/>
    <w:rsid w:val="00E72F37"/>
    <w:rsid w:val="00E748FB"/>
    <w:rsid w:val="00E75251"/>
    <w:rsid w:val="00E834D0"/>
    <w:rsid w:val="00E857EB"/>
    <w:rsid w:val="00EA1376"/>
    <w:rsid w:val="00EA5FC6"/>
    <w:rsid w:val="00EB5DF9"/>
    <w:rsid w:val="00ED79B4"/>
    <w:rsid w:val="00EE400B"/>
    <w:rsid w:val="00F30844"/>
    <w:rsid w:val="00F53123"/>
    <w:rsid w:val="00FC056F"/>
    <w:rsid w:val="00FC17C7"/>
    <w:rsid w:val="00FC3D72"/>
    <w:rsid w:val="00FC5F8F"/>
    <w:rsid w:val="00FC7910"/>
    <w:rsid w:val="00FD5DA0"/>
    <w:rsid w:val="00FF3F40"/>
    <w:rsid w:val="00FF677F"/>
    <w:rsid w:val="0F2F4219"/>
    <w:rsid w:val="52EBA4C5"/>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9996"/>
  <w15:docId w15:val="{7530D2A8-2D8F-4F87-B83A-84CAC1E3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hAnsiTheme="majorHAnsi" w:eastAsiaTheme="majorEastAsia"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hAnsiTheme="majorHAnsi" w:eastAsiaTheme="majorEastAsia"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hAnsiTheme="majorHAnsi" w:eastAsiaTheme="majorEastAsia" w:cstheme="majorBidi"/>
      <w:i/>
      <w:iCs/>
      <w:color w:val="002A43"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A7AED"/>
    <w:rPr>
      <w:rFonts w:ascii="AmcorPro Light" w:hAnsi="AmcorPro Light" w:eastAsia="Times New Roman"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styleId="FooterChar" w:customStyle="1">
    <w:name w:val="Footer Char"/>
    <w:basedOn w:val="DefaultParagraphFont"/>
    <w:link w:val="Footer"/>
    <w:uiPriority w:val="99"/>
    <w:rsid w:val="00913DA2"/>
    <w:rPr>
      <w:rFonts w:ascii="AmcorPro Light" w:hAnsi="AmcorPro Light" w:eastAsia="Times New Roman" w:cs="Times New Roman"/>
      <w:sz w:val="16"/>
      <w:szCs w:val="24"/>
      <w:lang w:eastAsia="en-AU"/>
    </w:rPr>
  </w:style>
  <w:style w:type="paragraph" w:styleId="FooterABN" w:customStyle="1">
    <w:name w:val="Footer ABN"/>
    <w:basedOn w:val="Footer"/>
    <w:link w:val="FooterABNChar"/>
    <w:rsid w:val="00913DA2"/>
    <w:pPr>
      <w:spacing w:after="140"/>
    </w:pPr>
    <w:rPr>
      <w:sz w:val="12"/>
    </w:rPr>
  </w:style>
  <w:style w:type="character" w:styleId="SemiBold" w:customStyle="1">
    <w:name w:val="Semi Bold"/>
    <w:rsid w:val="00913DA2"/>
    <w:rPr>
      <w:rFonts w:ascii="AmcorPro SemiBold" w:hAnsi="AmcorPro SemiBold"/>
    </w:rPr>
  </w:style>
  <w:style w:type="character" w:styleId="FooterABNChar" w:customStyle="1">
    <w:name w:val="Footer ABN Char"/>
    <w:basedOn w:val="FooterChar"/>
    <w:link w:val="FooterABN"/>
    <w:rsid w:val="00913DA2"/>
    <w:rPr>
      <w:rFonts w:ascii="AmcorPro Light" w:hAnsi="AmcorPro Light" w:eastAsia="Times New Roman"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913DA2"/>
    <w:rPr>
      <w:rFonts w:ascii="Tahoma" w:hAnsi="Tahoma" w:eastAsia="Times New Roman"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styleId="HeaderChar" w:customStyle="1">
    <w:name w:val="Header Char"/>
    <w:basedOn w:val="DefaultParagraphFont"/>
    <w:link w:val="Header"/>
    <w:uiPriority w:val="99"/>
    <w:rsid w:val="00BD2C4B"/>
    <w:rPr>
      <w:rFonts w:ascii="AmcorPro Light" w:hAnsi="AmcorPro Light" w:eastAsia="Times New Roman"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styleId="CommentTextChar" w:customStyle="1">
    <w:name w:val="Comment Text Char"/>
    <w:basedOn w:val="DefaultParagraphFont"/>
    <w:link w:val="CommentText"/>
    <w:uiPriority w:val="99"/>
    <w:rsid w:val="00FC7910"/>
    <w:rPr>
      <w:rFonts w:ascii="AmcorPro Light" w:hAnsi="AmcorPro Light"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styleId="CommentSubjectChar" w:customStyle="1">
    <w:name w:val="Comment Subject Char"/>
    <w:basedOn w:val="CommentTextChar"/>
    <w:link w:val="CommentSubject"/>
    <w:uiPriority w:val="99"/>
    <w:semiHidden/>
    <w:rsid w:val="00FC7910"/>
    <w:rPr>
      <w:rFonts w:ascii="AmcorPro Light" w:hAnsi="AmcorPro Light" w:eastAsia="Times New Roman"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styleId="BasicParagraph" w:customStyle="1">
    <w:name w:val="[Basic Paragraph]"/>
    <w:basedOn w:val="Normal"/>
    <w:uiPriority w:val="99"/>
    <w:rsid w:val="005860A0"/>
    <w:pPr>
      <w:autoSpaceDE w:val="0"/>
      <w:autoSpaceDN w:val="0"/>
      <w:adjustRightInd w:val="0"/>
      <w:spacing w:before="0" w:after="0" w:line="288" w:lineRule="auto"/>
      <w:textAlignment w:val="center"/>
    </w:pPr>
    <w:rPr>
      <w:rFonts w:ascii="Minion Pro" w:hAnsi="Minion Pro" w:cs="Minion Pro" w:eastAsiaTheme="minorHAnsi"/>
      <w:color w:val="000000"/>
      <w:sz w:val="24"/>
      <w:lang w:val="en-US"/>
    </w:rPr>
  </w:style>
  <w:style w:type="table" w:styleId="TableGrid">
    <w:name w:val="Table Grid"/>
    <w:basedOn w:val="TableNormal"/>
    <w:uiPriority w:val="59"/>
    <w:rsid w:val="0059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E3768"/>
    <w:rPr>
      <w:rFonts w:asciiTheme="majorHAnsi" w:hAnsiTheme="majorHAnsi" w:eastAsiaTheme="majorEastAsia" w:cstheme="majorBidi"/>
      <w:color w:val="002A43" w:themeColor="accent1" w:themeShade="BF"/>
      <w:sz w:val="26"/>
      <w:szCs w:val="26"/>
    </w:rPr>
  </w:style>
  <w:style w:type="character" w:styleId="Heading3Char" w:customStyle="1">
    <w:name w:val="Heading 3 Char"/>
    <w:basedOn w:val="DefaultParagraphFont"/>
    <w:link w:val="Heading3"/>
    <w:uiPriority w:val="9"/>
    <w:semiHidden/>
    <w:rsid w:val="007E3768"/>
    <w:rPr>
      <w:rFonts w:asciiTheme="majorHAnsi" w:hAnsiTheme="majorHAnsi" w:eastAsiaTheme="majorEastAsia" w:cstheme="majorBidi"/>
      <w:color w:val="001C2C" w:themeColor="accent1" w:themeShade="7F"/>
      <w:sz w:val="24"/>
      <w:szCs w:val="24"/>
    </w:rPr>
  </w:style>
  <w:style w:type="character" w:styleId="Heading4Char" w:customStyle="1">
    <w:name w:val="Heading 4 Char"/>
    <w:basedOn w:val="DefaultParagraphFont"/>
    <w:link w:val="Heading4"/>
    <w:uiPriority w:val="9"/>
    <w:semiHidden/>
    <w:rsid w:val="007E3768"/>
    <w:rPr>
      <w:rFonts w:asciiTheme="majorHAnsi" w:hAnsiTheme="majorHAnsi" w:eastAsiaTheme="majorEastAsia"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7AE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color="00395A" w:themeColor="accent1" w:sz="4" w:space="10"/>
        <w:bottom w:val="single" w:color="00395A"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DA7AED"/>
    <w:rPr>
      <w:rFonts w:ascii="AmcorPro Light" w:hAnsi="AmcorPro Light" w:eastAsia="Times New Roman"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DA7AED"/>
    <w:rPr>
      <w:rFonts w:ascii="AmcorPro Light" w:hAnsi="AmcorPro Light" w:eastAsia="Times New Roman"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260C7A"/>
    <w:pPr>
      <w:spacing w:after="0" w:line="240" w:lineRule="auto"/>
    </w:pPr>
    <w:rPr>
      <w:rFonts w:eastAsia="Times New Roman" w:cs="Times New Roman"/>
      <w:color w:val="00395A"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user/amcorpackaging"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linkedin.com/company/amcor/"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mcor.com"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amcor.com/products/technical-applications/home-constructions/pallet-protection/emea" TargetMode="Externa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mailto:amcor@nmpr.co.uk"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liedtke\Downloads\Word%20doc%20template_News_release%20(1).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d4b6b62b5fadb0a3dea81f8ddef0616e">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0c9ec26108920172c69647423ba489b5"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6D475-F145-405E-9088-55755A4C096A}">
  <ds:schemaRefs>
    <ds:schemaRef ds:uri="http://schemas.microsoft.com/office/infopath/2007/PartnerControls"/>
    <ds:schemaRef ds:uri="21c1da26-b890-4a06-bf2a-718f25dc714b"/>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3504a71c-9d07-4311-a5c2-2fa12fbb820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E37AB82-03B0-47FE-92E2-79761A488CE2}"/>
</file>

<file path=customXml/itemProps3.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4.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 doc template_News_release (1)</ap:Template>
  <ap:Application>Microsoft Word for the web</ap:Application>
  <ap:DocSecurity>0</ap:DocSecurity>
  <ap:ScaleCrop>false</ap:ScaleCrop>
  <ap:Company>Amcor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Julie Liedtke</dc:creator>
  <lastModifiedBy>Alona  Vvedenska</lastModifiedBy>
  <revision>4</revision>
  <dcterms:created xsi:type="dcterms:W3CDTF">2025-11-19T15:57:00.0000000Z</dcterms:created>
  <dcterms:modified xsi:type="dcterms:W3CDTF">2025-11-20T09:46:57.5460318Z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ies>
</file>